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2669CB" w14:textId="211D69FB" w:rsidR="00DC5CA9" w:rsidRPr="00DA12F7" w:rsidRDefault="00DC5CA9" w:rsidP="00DC5CA9">
      <w:pPr>
        <w:tabs>
          <w:tab w:val="right" w:pos="9630"/>
        </w:tabs>
        <w:spacing w:after="0"/>
      </w:pPr>
      <w:r w:rsidRPr="00DA12F7">
        <w:rPr>
          <w:rFonts w:ascii="Arial" w:hAnsi="Arial" w:cs="Arial"/>
          <w:b/>
          <w:sz w:val="24"/>
        </w:rPr>
        <w:t>3GPP TSG RAN WG1 #</w:t>
      </w:r>
      <w:r>
        <w:rPr>
          <w:rFonts w:ascii="Arial" w:hAnsi="Arial" w:cs="Arial"/>
          <w:b/>
          <w:sz w:val="24"/>
        </w:rPr>
        <w:t>8</w:t>
      </w:r>
      <w:r w:rsidR="00F243AF">
        <w:rPr>
          <w:rFonts w:ascii="Arial" w:hAnsi="Arial" w:cs="Arial"/>
          <w:b/>
          <w:sz w:val="24"/>
        </w:rPr>
        <w:t>8</w:t>
      </w:r>
      <w:r w:rsidRPr="00DA12F7">
        <w:rPr>
          <w:rFonts w:ascii="Arial" w:hAnsi="Arial" w:cs="Arial"/>
          <w:b/>
          <w:sz w:val="24"/>
        </w:rPr>
        <w:tab/>
        <w:t>R1-</w:t>
      </w:r>
      <w:r w:rsidR="00191924" w:rsidRPr="00191924">
        <w:rPr>
          <w:rFonts w:ascii="Arial" w:hAnsi="Arial" w:cs="Arial"/>
          <w:b/>
          <w:sz w:val="24"/>
        </w:rPr>
        <w:t>1702558</w:t>
      </w:r>
    </w:p>
    <w:p w14:paraId="3CB584CF" w14:textId="0A5496EE" w:rsidR="00DC5CA9" w:rsidRPr="00DA12F7" w:rsidRDefault="00F243AF" w:rsidP="00DC5CA9">
      <w:pPr>
        <w:tabs>
          <w:tab w:val="right" w:pos="9630"/>
        </w:tabs>
        <w:spacing w:after="0"/>
        <w:rPr>
          <w:rFonts w:ascii="Arial" w:hAnsi="Arial" w:cs="Arial"/>
          <w:b/>
          <w:sz w:val="24"/>
          <w:szCs w:val="24"/>
        </w:rPr>
      </w:pPr>
      <w:r>
        <w:rPr>
          <w:rFonts w:ascii="Arial" w:hAnsi="Arial" w:cs="Arial"/>
          <w:b/>
          <w:sz w:val="24"/>
          <w:szCs w:val="24"/>
        </w:rPr>
        <w:t>February</w:t>
      </w:r>
      <w:r w:rsidR="00D07C95">
        <w:rPr>
          <w:rFonts w:ascii="Arial" w:hAnsi="Arial" w:cs="Arial"/>
          <w:b/>
          <w:sz w:val="24"/>
          <w:szCs w:val="24"/>
        </w:rPr>
        <w:t xml:space="preserve"> 1</w:t>
      </w:r>
      <w:r>
        <w:rPr>
          <w:rFonts w:ascii="Arial" w:hAnsi="Arial" w:cs="Arial"/>
          <w:b/>
          <w:sz w:val="24"/>
          <w:szCs w:val="24"/>
        </w:rPr>
        <w:t>3</w:t>
      </w:r>
      <w:r w:rsidR="00D07C95" w:rsidRPr="00FE6782">
        <w:rPr>
          <w:rFonts w:ascii="Arial" w:hAnsi="Arial" w:cs="Arial"/>
          <w:b/>
          <w:sz w:val="24"/>
          <w:szCs w:val="24"/>
          <w:vertAlign w:val="superscript"/>
        </w:rPr>
        <w:t>th</w:t>
      </w:r>
      <w:r w:rsidR="00D07C95">
        <w:rPr>
          <w:rFonts w:ascii="Arial" w:hAnsi="Arial" w:cs="Arial"/>
          <w:b/>
          <w:sz w:val="24"/>
          <w:szCs w:val="24"/>
        </w:rPr>
        <w:t xml:space="preserve"> </w:t>
      </w:r>
      <w:r w:rsidR="00DC5CA9">
        <w:rPr>
          <w:rFonts w:ascii="Arial" w:hAnsi="Arial" w:cs="Arial"/>
          <w:b/>
          <w:sz w:val="24"/>
          <w:szCs w:val="24"/>
        </w:rPr>
        <w:t xml:space="preserve">– </w:t>
      </w:r>
      <w:r w:rsidR="00D07C95">
        <w:rPr>
          <w:rFonts w:ascii="Arial" w:hAnsi="Arial" w:cs="Arial"/>
          <w:b/>
          <w:sz w:val="24"/>
          <w:szCs w:val="24"/>
        </w:rPr>
        <w:t>1</w:t>
      </w:r>
      <w:r>
        <w:rPr>
          <w:rFonts w:ascii="Arial" w:hAnsi="Arial" w:cs="Arial"/>
          <w:b/>
          <w:sz w:val="24"/>
          <w:szCs w:val="24"/>
        </w:rPr>
        <w:t>7</w:t>
      </w:r>
      <w:r w:rsidR="00D07C95" w:rsidRPr="00DA12F7">
        <w:rPr>
          <w:rFonts w:ascii="Arial" w:hAnsi="Arial" w:cs="Arial"/>
          <w:b/>
          <w:sz w:val="24"/>
          <w:szCs w:val="24"/>
          <w:vertAlign w:val="superscript"/>
        </w:rPr>
        <w:t>th</w:t>
      </w:r>
      <w:r w:rsidR="00DC5CA9" w:rsidRPr="00DA12F7">
        <w:rPr>
          <w:rFonts w:ascii="Arial" w:hAnsi="Arial" w:cs="Arial"/>
          <w:b/>
          <w:sz w:val="24"/>
          <w:szCs w:val="24"/>
        </w:rPr>
        <w:t>, 201</w:t>
      </w:r>
      <w:r>
        <w:rPr>
          <w:rFonts w:ascii="Arial" w:hAnsi="Arial" w:cs="Arial"/>
          <w:b/>
          <w:sz w:val="24"/>
          <w:szCs w:val="24"/>
        </w:rPr>
        <w:t>7</w:t>
      </w:r>
    </w:p>
    <w:p w14:paraId="1AB4E0E7" w14:textId="671AF555" w:rsidR="00DC5CA9" w:rsidRPr="00DA12F7" w:rsidRDefault="00F243AF" w:rsidP="00DC5CA9">
      <w:pPr>
        <w:rPr>
          <w:rFonts w:ascii="Arial" w:hAnsi="Arial" w:cs="Arial"/>
          <w:b/>
          <w:sz w:val="24"/>
          <w:szCs w:val="24"/>
        </w:rPr>
      </w:pPr>
      <w:r>
        <w:rPr>
          <w:rFonts w:ascii="Arial" w:hAnsi="Arial" w:cs="Arial"/>
          <w:b/>
          <w:sz w:val="24"/>
          <w:szCs w:val="24"/>
        </w:rPr>
        <w:t>Athens</w:t>
      </w:r>
      <w:r w:rsidR="00DC5CA9">
        <w:rPr>
          <w:rFonts w:ascii="Arial" w:hAnsi="Arial" w:cs="Arial"/>
          <w:b/>
          <w:sz w:val="24"/>
          <w:szCs w:val="24"/>
        </w:rPr>
        <w:t xml:space="preserve">, </w:t>
      </w:r>
      <w:r>
        <w:rPr>
          <w:rFonts w:ascii="Arial" w:hAnsi="Arial" w:cs="Arial"/>
          <w:b/>
          <w:sz w:val="24"/>
          <w:szCs w:val="24"/>
        </w:rPr>
        <w:t>Greece</w:t>
      </w:r>
    </w:p>
    <w:p w14:paraId="49F194EA" w14:textId="77777777" w:rsidR="00E725B6" w:rsidRPr="00E624D8" w:rsidRDefault="00E725B6" w:rsidP="00E725B6">
      <w:pPr>
        <w:pStyle w:val="Title"/>
        <w:tabs>
          <w:tab w:val="left" w:pos="709"/>
          <w:tab w:val="right" w:pos="9639"/>
        </w:tabs>
        <w:wordWrap w:val="0"/>
        <w:spacing w:after="0"/>
        <w:ind w:right="120"/>
        <w:jc w:val="right"/>
        <w:rPr>
          <w:rFonts w:cs="Arial"/>
          <w:lang w:val="en-GB" w:eastAsia="ja-JP"/>
        </w:rPr>
      </w:pPr>
      <w:r w:rsidRPr="00E624D8">
        <w:rPr>
          <w:rFonts w:cs="Arial"/>
          <w:lang w:val="en-GB"/>
        </w:rPr>
        <w:tab/>
      </w:r>
    </w:p>
    <w:p w14:paraId="53EAB8BD" w14:textId="2B56B305" w:rsidR="00E725B6" w:rsidRPr="00ED3068" w:rsidRDefault="00E725B6" w:rsidP="00E725B6">
      <w:pPr>
        <w:tabs>
          <w:tab w:val="left" w:pos="1985"/>
        </w:tabs>
        <w:rPr>
          <w:rFonts w:ascii="Arial" w:hAnsi="Arial"/>
          <w:color w:val="FF0000"/>
          <w:sz w:val="24"/>
        </w:rPr>
      </w:pPr>
      <w:r w:rsidRPr="00E624D8">
        <w:rPr>
          <w:rFonts w:ascii="Arial" w:hAnsi="Arial"/>
          <w:b/>
          <w:sz w:val="24"/>
        </w:rPr>
        <w:t>Agenda item:</w:t>
      </w:r>
      <w:bookmarkStart w:id="0" w:name="Source"/>
      <w:bookmarkEnd w:id="0"/>
      <w:r w:rsidR="006C7D80" w:rsidRPr="00E624D8">
        <w:rPr>
          <w:rFonts w:ascii="Arial" w:hAnsi="Arial"/>
          <w:sz w:val="24"/>
        </w:rPr>
        <w:tab/>
      </w:r>
      <w:r w:rsidR="00F243AF">
        <w:rPr>
          <w:rFonts w:ascii="Arial" w:hAnsi="Arial"/>
          <w:sz w:val="24"/>
        </w:rPr>
        <w:t>7</w:t>
      </w:r>
      <w:r w:rsidR="00FD45CD" w:rsidRPr="00C14FE4">
        <w:rPr>
          <w:rFonts w:ascii="Arial" w:hAnsi="Arial"/>
          <w:sz w:val="24"/>
        </w:rPr>
        <w:t>.</w:t>
      </w:r>
      <w:r w:rsidR="00961BF6">
        <w:rPr>
          <w:rFonts w:ascii="Arial" w:hAnsi="Arial"/>
          <w:sz w:val="24"/>
        </w:rPr>
        <w:t>2</w:t>
      </w:r>
      <w:r w:rsidR="00FD45CD" w:rsidRPr="00C14FE4">
        <w:rPr>
          <w:rFonts w:ascii="Arial" w:hAnsi="Arial"/>
          <w:sz w:val="24"/>
        </w:rPr>
        <w:t>.</w:t>
      </w:r>
      <w:r w:rsidR="00F243AF">
        <w:rPr>
          <w:rFonts w:ascii="Arial" w:hAnsi="Arial"/>
          <w:sz w:val="24"/>
        </w:rPr>
        <w:t>5</w:t>
      </w:r>
      <w:r w:rsidR="00FA35AF">
        <w:rPr>
          <w:rFonts w:ascii="Arial" w:hAnsi="Arial"/>
          <w:sz w:val="24"/>
        </w:rPr>
        <w:t>.2</w:t>
      </w:r>
      <w:r w:rsidR="00116B51">
        <w:rPr>
          <w:rFonts w:ascii="Arial" w:hAnsi="Arial"/>
          <w:sz w:val="24"/>
        </w:rPr>
        <w:t>.</w:t>
      </w:r>
      <w:r w:rsidR="00F243AF">
        <w:rPr>
          <w:rFonts w:ascii="Arial" w:hAnsi="Arial"/>
          <w:sz w:val="24"/>
        </w:rPr>
        <w:t>1.3</w:t>
      </w:r>
    </w:p>
    <w:p w14:paraId="6EBDFB6E" w14:textId="77777777" w:rsidR="0068226B" w:rsidRPr="00CC27F5" w:rsidRDefault="0068226B" w:rsidP="00382B96">
      <w:pPr>
        <w:tabs>
          <w:tab w:val="left" w:pos="1985"/>
        </w:tabs>
        <w:rPr>
          <w:rFonts w:ascii="Arial" w:hAnsi="Arial"/>
          <w:sz w:val="24"/>
          <w:lang w:eastAsia="zh-CN"/>
        </w:rPr>
      </w:pPr>
      <w:r w:rsidRPr="00CC27F5">
        <w:rPr>
          <w:rFonts w:ascii="Arial" w:hAnsi="Arial"/>
          <w:b/>
          <w:sz w:val="24"/>
        </w:rPr>
        <w:t xml:space="preserve">Source: </w:t>
      </w:r>
      <w:r w:rsidRPr="00CC27F5">
        <w:rPr>
          <w:rFonts w:ascii="Arial" w:hAnsi="Arial"/>
          <w:b/>
          <w:sz w:val="24"/>
        </w:rPr>
        <w:tab/>
      </w:r>
      <w:r w:rsidRPr="00CC27F5">
        <w:rPr>
          <w:rFonts w:ascii="Arial" w:hAnsi="Arial"/>
          <w:sz w:val="24"/>
        </w:rPr>
        <w:t xml:space="preserve">Qualcomm </w:t>
      </w:r>
      <w:r w:rsidR="00802AC5">
        <w:rPr>
          <w:rFonts w:ascii="Arial" w:hAnsi="Arial"/>
          <w:sz w:val="24"/>
        </w:rPr>
        <w:t>Inc</w:t>
      </w:r>
      <w:r w:rsidR="00821167">
        <w:rPr>
          <w:rFonts w:ascii="Arial" w:hAnsi="Arial"/>
          <w:sz w:val="24"/>
        </w:rPr>
        <w:t>orporated</w:t>
      </w:r>
    </w:p>
    <w:p w14:paraId="0963A3D3" w14:textId="3F08F8FF" w:rsidR="0068226B" w:rsidRPr="0044166C" w:rsidRDefault="0068226B" w:rsidP="00382B96">
      <w:pPr>
        <w:ind w:left="1988" w:hanging="1988"/>
        <w:rPr>
          <w:rFonts w:ascii="Arial" w:hAnsi="Arial"/>
          <w:sz w:val="24"/>
        </w:rPr>
      </w:pPr>
      <w:r w:rsidRPr="00CC27F5">
        <w:rPr>
          <w:rFonts w:ascii="Arial" w:hAnsi="Arial"/>
          <w:b/>
          <w:sz w:val="24"/>
        </w:rPr>
        <w:t>Title:</w:t>
      </w:r>
      <w:r w:rsidRPr="00CC27F5">
        <w:rPr>
          <w:rFonts w:ascii="Arial" w:hAnsi="Arial"/>
          <w:sz w:val="24"/>
        </w:rPr>
        <w:t xml:space="preserve"> </w:t>
      </w:r>
      <w:r w:rsidR="00650CAB">
        <w:rPr>
          <w:rFonts w:ascii="Arial" w:hAnsi="Arial"/>
          <w:sz w:val="22"/>
        </w:rPr>
        <w:tab/>
      </w:r>
      <w:r w:rsidR="00F243AF">
        <w:rPr>
          <w:rFonts w:ascii="Arial" w:hAnsi="Arial"/>
          <w:sz w:val="24"/>
        </w:rPr>
        <w:t xml:space="preserve">HARQ Management for Dynamic Switching </w:t>
      </w:r>
      <w:r w:rsidR="00F2566F">
        <w:rPr>
          <w:rFonts w:ascii="Arial" w:hAnsi="Arial"/>
          <w:sz w:val="24"/>
        </w:rPr>
        <w:t>between</w:t>
      </w:r>
      <w:r w:rsidR="005643BD">
        <w:rPr>
          <w:rFonts w:ascii="Arial" w:hAnsi="Arial"/>
          <w:sz w:val="24"/>
        </w:rPr>
        <w:t xml:space="preserve"> 1ms and sTTI Opera</w:t>
      </w:r>
      <w:r w:rsidR="00F243AF">
        <w:rPr>
          <w:rFonts w:ascii="Arial" w:hAnsi="Arial"/>
          <w:sz w:val="24"/>
        </w:rPr>
        <w:t>tions</w:t>
      </w:r>
    </w:p>
    <w:p w14:paraId="4E9088AE" w14:textId="77777777" w:rsidR="0068226B" w:rsidRPr="00CC27F5" w:rsidRDefault="0068226B" w:rsidP="00382B96">
      <w:pPr>
        <w:tabs>
          <w:tab w:val="left" w:pos="1985"/>
        </w:tabs>
        <w:ind w:right="-441"/>
        <w:rPr>
          <w:rFonts w:ascii="Arial" w:hAnsi="Arial"/>
          <w:sz w:val="24"/>
        </w:rPr>
      </w:pPr>
      <w:r w:rsidRPr="00CC27F5">
        <w:rPr>
          <w:rFonts w:ascii="Arial" w:hAnsi="Arial"/>
          <w:b/>
          <w:sz w:val="24"/>
        </w:rPr>
        <w:t>Document for:</w:t>
      </w:r>
      <w:r w:rsidRPr="00CC27F5">
        <w:rPr>
          <w:rFonts w:ascii="Arial" w:hAnsi="Arial"/>
          <w:sz w:val="24"/>
        </w:rPr>
        <w:tab/>
      </w:r>
      <w:bookmarkStart w:id="1" w:name="DocumentFor"/>
      <w:bookmarkEnd w:id="1"/>
      <w:r w:rsidRPr="00CC27F5">
        <w:rPr>
          <w:rFonts w:ascii="Arial" w:hAnsi="Arial"/>
          <w:sz w:val="24"/>
        </w:rPr>
        <w:t>Discussion</w:t>
      </w:r>
      <w:r w:rsidR="00DA6B8E">
        <w:rPr>
          <w:rFonts w:ascii="Arial" w:hAnsi="Arial"/>
          <w:sz w:val="24"/>
        </w:rPr>
        <w:t xml:space="preserve"> and Decision</w:t>
      </w:r>
    </w:p>
    <w:p w14:paraId="19D84970" w14:textId="77777777" w:rsidR="00491EEE" w:rsidRPr="00CC27F5" w:rsidRDefault="00FD6A3D" w:rsidP="00491EEE">
      <w:pPr>
        <w:pStyle w:val="Heading1"/>
      </w:pPr>
      <w:r w:rsidRPr="00CC27F5">
        <w:t>1</w:t>
      </w:r>
      <w:r w:rsidRPr="00CC27F5">
        <w:tab/>
      </w:r>
      <w:r w:rsidR="00B209B5" w:rsidRPr="00CC27F5">
        <w:t>Introduction</w:t>
      </w:r>
    </w:p>
    <w:p w14:paraId="19861971" w14:textId="453CE3CF" w:rsidR="004C7384" w:rsidRDefault="00BD435C" w:rsidP="00F30894">
      <w:pPr>
        <w:jc w:val="both"/>
      </w:pPr>
      <w:r>
        <w:t xml:space="preserve">In the legacy LTE system, the </w:t>
      </w:r>
      <w:r w:rsidR="00B50DBE">
        <w:t>UEs’ soft buffer</w:t>
      </w:r>
      <w:r>
        <w:t xml:space="preserve"> is split into 8 equal segments, where each of which can be accessed using a 3-bit information field placed in the DCI. However, when both the sTTI and legacy operations are supported, the HARQ management should be revised so that both operations can be efficiently supported. </w:t>
      </w:r>
    </w:p>
    <w:p w14:paraId="69EC6653" w14:textId="02514026" w:rsidR="00BD435C" w:rsidRDefault="00BD435C" w:rsidP="00F30894">
      <w:pPr>
        <w:jc w:val="both"/>
      </w:pPr>
      <w:r>
        <w:t xml:space="preserve">In this contribution paper, we explore different HARQ management schemes </w:t>
      </w:r>
      <w:r w:rsidR="000A3E19">
        <w:t>for supporting both operations.</w:t>
      </w:r>
    </w:p>
    <w:p w14:paraId="488AD007" w14:textId="76C23D37" w:rsidR="00491EEE" w:rsidRDefault="00491EEE" w:rsidP="00F30894">
      <w:pPr>
        <w:pStyle w:val="Heading1"/>
        <w:jc w:val="both"/>
      </w:pPr>
      <w:r w:rsidRPr="00CC27F5">
        <w:t>2</w:t>
      </w:r>
      <w:r w:rsidRPr="00CC27F5">
        <w:tab/>
      </w:r>
      <w:r w:rsidR="006B422E">
        <w:t>HARQ Management under 1ms and sTTI Operations</w:t>
      </w:r>
    </w:p>
    <w:p w14:paraId="6DD8022D" w14:textId="7BD4E895" w:rsidR="00237AE0" w:rsidRDefault="000A3E19" w:rsidP="00BD435C">
      <w:bookmarkStart w:id="2" w:name="prop_e"/>
      <w:r w:rsidRPr="000A3E19">
        <w:t>In this paper, we describe the following four options:</w:t>
      </w:r>
    </w:p>
    <w:p w14:paraId="31EB9417" w14:textId="116202BA" w:rsidR="000A3E19" w:rsidRPr="000A3E19" w:rsidRDefault="000A3E19" w:rsidP="000A3E19">
      <w:pPr>
        <w:pStyle w:val="ListParagraph"/>
        <w:numPr>
          <w:ilvl w:val="0"/>
          <w:numId w:val="13"/>
        </w:numPr>
        <w:rPr>
          <w:sz w:val="20"/>
        </w:rPr>
      </w:pPr>
      <w:r>
        <w:rPr>
          <w:sz w:val="20"/>
        </w:rPr>
        <w:t>Increasing the</w:t>
      </w:r>
      <w:r w:rsidRPr="000A3E19">
        <w:rPr>
          <w:sz w:val="20"/>
        </w:rPr>
        <w:t xml:space="preserve"> soft buffer</w:t>
      </w:r>
      <w:r>
        <w:rPr>
          <w:sz w:val="20"/>
        </w:rPr>
        <w:t xml:space="preserve"> size</w:t>
      </w:r>
    </w:p>
    <w:p w14:paraId="5CEEA680" w14:textId="1B31B76F" w:rsidR="000A3E19" w:rsidRPr="000A3E19" w:rsidRDefault="000A3E19" w:rsidP="000A3E19">
      <w:pPr>
        <w:pStyle w:val="ListParagraph"/>
        <w:numPr>
          <w:ilvl w:val="0"/>
          <w:numId w:val="13"/>
        </w:numPr>
        <w:rPr>
          <w:sz w:val="20"/>
        </w:rPr>
      </w:pPr>
      <w:r w:rsidRPr="000A3E19">
        <w:rPr>
          <w:sz w:val="20"/>
        </w:rPr>
        <w:t>Fully-overlapping HARQ processes</w:t>
      </w:r>
    </w:p>
    <w:p w14:paraId="67E56B03" w14:textId="62680C48" w:rsidR="000A3E19" w:rsidRPr="000A3E19" w:rsidRDefault="00C47B1C" w:rsidP="000A3E19">
      <w:pPr>
        <w:pStyle w:val="ListParagraph"/>
        <w:numPr>
          <w:ilvl w:val="0"/>
          <w:numId w:val="13"/>
        </w:numPr>
        <w:rPr>
          <w:sz w:val="20"/>
        </w:rPr>
      </w:pPr>
      <w:r>
        <w:rPr>
          <w:sz w:val="20"/>
        </w:rPr>
        <w:t>Fully non-overlapping</w:t>
      </w:r>
      <w:r w:rsidR="000A3E19" w:rsidRPr="000A3E19">
        <w:rPr>
          <w:sz w:val="20"/>
        </w:rPr>
        <w:t xml:space="preserve"> HARQ processes</w:t>
      </w:r>
    </w:p>
    <w:p w14:paraId="38511F7C" w14:textId="32D71F54" w:rsidR="000A3E19" w:rsidRPr="000A3E19" w:rsidRDefault="000A3E19" w:rsidP="000A3E19">
      <w:pPr>
        <w:pStyle w:val="ListParagraph"/>
        <w:numPr>
          <w:ilvl w:val="0"/>
          <w:numId w:val="13"/>
        </w:numPr>
        <w:rPr>
          <w:sz w:val="20"/>
        </w:rPr>
      </w:pPr>
      <w:r w:rsidRPr="000A3E19">
        <w:rPr>
          <w:sz w:val="20"/>
        </w:rPr>
        <w:t>Partially-overlapping HARQ processes.</w:t>
      </w:r>
    </w:p>
    <w:p w14:paraId="02169ED7" w14:textId="77777777" w:rsidR="000A3E19" w:rsidRDefault="000A3E19" w:rsidP="00BD435C">
      <w:pPr>
        <w:rPr>
          <w:b/>
        </w:rPr>
      </w:pPr>
    </w:p>
    <w:p w14:paraId="1481B4E4" w14:textId="211925CF" w:rsidR="000A3E19" w:rsidRDefault="000A3E19" w:rsidP="000A3E19">
      <w:pPr>
        <w:pStyle w:val="Heading2"/>
        <w:rPr>
          <w:sz w:val="28"/>
        </w:rPr>
      </w:pPr>
      <w:r w:rsidRPr="000A3E19">
        <w:rPr>
          <w:sz w:val="28"/>
        </w:rPr>
        <w:t xml:space="preserve">2.1 </w:t>
      </w:r>
      <w:r>
        <w:rPr>
          <w:sz w:val="28"/>
        </w:rPr>
        <w:t>Increasing the Soft Buffer Size</w:t>
      </w:r>
    </w:p>
    <w:p w14:paraId="0261BBA3" w14:textId="1662C65E" w:rsidR="009D64A4" w:rsidRDefault="00D01164" w:rsidP="009D64A4">
      <w:pPr>
        <w:jc w:val="both"/>
        <w:rPr>
          <w:lang w:val="en-GB"/>
        </w:rPr>
      </w:pPr>
      <w:r>
        <w:rPr>
          <w:lang w:val="en-GB"/>
        </w:rPr>
        <w:t>One way to support</w:t>
      </w:r>
      <w:r w:rsidR="005E50A0">
        <w:rPr>
          <w:lang w:val="en-GB"/>
        </w:rPr>
        <w:t xml:space="preserve"> </w:t>
      </w:r>
      <w:r>
        <w:rPr>
          <w:lang w:val="en-GB"/>
        </w:rPr>
        <w:t xml:space="preserve">the </w:t>
      </w:r>
      <w:r w:rsidR="005E50A0">
        <w:rPr>
          <w:lang w:val="en-GB"/>
        </w:rPr>
        <w:t xml:space="preserve">HARQ processes for both 1ms and sTTI traffics could be to increase the soft buffer size. </w:t>
      </w:r>
      <w:r>
        <w:rPr>
          <w:lang w:val="en-GB"/>
        </w:rPr>
        <w:t xml:space="preserve">As an example, if </w:t>
      </w:r>
      <m:oMath>
        <m:r>
          <w:rPr>
            <w:rFonts w:ascii="Cambria Math" w:hAnsi="Cambria Math"/>
            <w:lang w:val="en-GB"/>
          </w:rPr>
          <m:t>n+4</m:t>
        </m:r>
      </m:oMath>
      <w:r>
        <w:rPr>
          <w:lang w:val="en-GB"/>
        </w:rPr>
        <w:t xml:space="preserve"> processing timeline is adopted for the sTTI operation, s</w:t>
      </w:r>
      <w:r w:rsidR="00B50DBE">
        <w:rPr>
          <w:lang w:val="en-GB"/>
        </w:rPr>
        <w:t>imilar</w:t>
      </w:r>
      <w:r w:rsidR="009D64A4">
        <w:rPr>
          <w:lang w:val="en-GB"/>
        </w:rPr>
        <w:t xml:space="preserve"> to the legacy approach, a 3-bit HARQ process indicator can be used to point to any of the 8 HARQ processes. Further, the two sets of HARQ processes </w:t>
      </w:r>
      <w:r>
        <w:rPr>
          <w:lang w:val="en-GB"/>
        </w:rPr>
        <w:t>could</w:t>
      </w:r>
      <w:r>
        <w:rPr>
          <w:lang w:val="en-GB"/>
        </w:rPr>
        <w:t xml:space="preserve"> </w:t>
      </w:r>
      <w:r w:rsidR="009D64A4">
        <w:rPr>
          <w:lang w:val="en-GB"/>
        </w:rPr>
        <w:t>be distinguished based on whether the grant is received via the legacy PDCCH or sPDCCH.</w:t>
      </w:r>
      <w:r>
        <w:rPr>
          <w:lang w:val="en-GB"/>
        </w:rPr>
        <w:t xml:space="preserve"> </w:t>
      </w:r>
    </w:p>
    <w:p w14:paraId="193EE712" w14:textId="7EB74242" w:rsidR="009D64A4" w:rsidRDefault="009D64A4" w:rsidP="009D64A4">
      <w:pPr>
        <w:jc w:val="both"/>
        <w:rPr>
          <w:lang w:val="en-GB"/>
        </w:rPr>
      </w:pPr>
      <w:r>
        <w:rPr>
          <w:lang w:val="en-GB"/>
        </w:rPr>
        <w:t>The downside of this approach is that it could be costly. In any case, at least for the 2-symbol operation, where the required soft buffer size is much less than that of the legacy approach, this option may be considered.</w:t>
      </w:r>
    </w:p>
    <w:p w14:paraId="465DE41F" w14:textId="27587692" w:rsidR="009D64A4" w:rsidRDefault="009D64A4" w:rsidP="009D64A4">
      <w:pPr>
        <w:jc w:val="both"/>
        <w:rPr>
          <w:lang w:val="en-GB"/>
        </w:rPr>
      </w:pPr>
      <w:r>
        <w:rPr>
          <w:lang w:val="en-GB"/>
        </w:rPr>
        <w:t xml:space="preserve">For the other options explained in the remainder of this document, there is no need to increase the soft buffer size. </w:t>
      </w:r>
    </w:p>
    <w:p w14:paraId="542DDE55" w14:textId="513CECCF" w:rsidR="009D64A4" w:rsidRDefault="009D64A4" w:rsidP="009D64A4">
      <w:pPr>
        <w:pStyle w:val="Heading2"/>
        <w:rPr>
          <w:sz w:val="28"/>
        </w:rPr>
      </w:pPr>
      <w:r w:rsidRPr="000A3E19">
        <w:rPr>
          <w:sz w:val="28"/>
        </w:rPr>
        <w:t>2</w:t>
      </w:r>
      <w:r>
        <w:rPr>
          <w:sz w:val="28"/>
        </w:rPr>
        <w:t>.2</w:t>
      </w:r>
      <w:r w:rsidRPr="000A3E19">
        <w:rPr>
          <w:sz w:val="28"/>
        </w:rPr>
        <w:t xml:space="preserve"> </w:t>
      </w:r>
      <w:r>
        <w:rPr>
          <w:sz w:val="28"/>
        </w:rPr>
        <w:t>Fully-Overlapping HARQ Processes</w:t>
      </w:r>
    </w:p>
    <w:p w14:paraId="3494610F" w14:textId="2B84A6FA" w:rsidR="00117FB6" w:rsidRDefault="009D64A4" w:rsidP="00B50DBE">
      <w:pPr>
        <w:jc w:val="both"/>
        <w:rPr>
          <w:lang w:val="en-GB"/>
        </w:rPr>
      </w:pPr>
      <w:r>
        <w:rPr>
          <w:lang w:val="en-GB"/>
        </w:rPr>
        <w:t xml:space="preserve">Under this approach, the legacy soft buffer and the set of legacy HARQ processes can be used </w:t>
      </w:r>
      <w:r w:rsidR="00C351AC">
        <w:rPr>
          <w:lang w:val="en-GB"/>
        </w:rPr>
        <w:t>for both operations. Similar to the previous case, a 3-bit HARQ process ID is sufficient to point to any of the 8 HARQ processes</w:t>
      </w:r>
      <w:r w:rsidR="00D01164">
        <w:rPr>
          <w:lang w:val="en-GB"/>
        </w:rPr>
        <w:t xml:space="preserve"> if </w:t>
      </w:r>
      <m:oMath>
        <m:r>
          <w:rPr>
            <w:rFonts w:ascii="Cambria Math" w:hAnsi="Cambria Math"/>
            <w:lang w:val="en-GB"/>
          </w:rPr>
          <m:t>n+4</m:t>
        </m:r>
      </m:oMath>
      <w:r w:rsidR="00E40E0C">
        <w:rPr>
          <w:lang w:val="en-GB"/>
        </w:rPr>
        <w:t xml:space="preserve"> is assumed</w:t>
      </w:r>
      <w:r w:rsidR="00C351AC">
        <w:rPr>
          <w:lang w:val="en-GB"/>
        </w:rPr>
        <w:t xml:space="preserve">. As an example, when both 1ms and 2-symbol operations are supported, the </w:t>
      </w:r>
      <w:r w:rsidR="00B50DBE">
        <w:rPr>
          <w:lang w:val="en-GB"/>
        </w:rPr>
        <w:t xml:space="preserve">HARQ ID 0-7 </w:t>
      </w:r>
      <w:r w:rsidR="00C351AC">
        <w:rPr>
          <w:lang w:val="en-GB"/>
        </w:rPr>
        <w:t>refer</w:t>
      </w:r>
      <w:r w:rsidR="00B50DBE">
        <w:rPr>
          <w:lang w:val="en-GB"/>
        </w:rPr>
        <w:t>s</w:t>
      </w:r>
      <w:r w:rsidR="00C351AC">
        <w:rPr>
          <w:lang w:val="en-GB"/>
        </w:rPr>
        <w:t xml:space="preserve"> to both 1ms and sTTI HARQ processes. </w:t>
      </w:r>
      <w:r w:rsidR="00B50DBE">
        <w:rPr>
          <w:lang w:val="en-GB"/>
        </w:rPr>
        <w:t>Then</w:t>
      </w:r>
      <w:r w:rsidR="00C351AC">
        <w:rPr>
          <w:lang w:val="en-GB"/>
        </w:rPr>
        <w:t xml:space="preserve">, depending on whether the grant is sent via PDCCH or sPDCCH, changing the TTI length between the initial transmission and the subsequent re-transmissions becomes feasible. </w:t>
      </w:r>
    </w:p>
    <w:p w14:paraId="5F675210" w14:textId="140C9BCB" w:rsidR="00117FB6" w:rsidRDefault="00117FB6" w:rsidP="00117FB6">
      <w:pPr>
        <w:pStyle w:val="Heading2"/>
        <w:rPr>
          <w:sz w:val="28"/>
        </w:rPr>
      </w:pPr>
      <w:r w:rsidRPr="000A3E19">
        <w:rPr>
          <w:sz w:val="28"/>
        </w:rPr>
        <w:t>2</w:t>
      </w:r>
      <w:r>
        <w:rPr>
          <w:sz w:val="28"/>
        </w:rPr>
        <w:t>.3</w:t>
      </w:r>
      <w:r w:rsidRPr="000A3E19">
        <w:rPr>
          <w:sz w:val="28"/>
        </w:rPr>
        <w:t xml:space="preserve"> </w:t>
      </w:r>
      <w:r w:rsidR="00C47B1C">
        <w:rPr>
          <w:sz w:val="28"/>
        </w:rPr>
        <w:t>Fully Non-Overlapping</w:t>
      </w:r>
      <w:r>
        <w:rPr>
          <w:sz w:val="28"/>
        </w:rPr>
        <w:t xml:space="preserve"> HARQ Processes</w:t>
      </w:r>
    </w:p>
    <w:p w14:paraId="07234D44" w14:textId="30B50041" w:rsidR="00F2566F" w:rsidRDefault="00F2566F" w:rsidP="00834F81">
      <w:pPr>
        <w:jc w:val="both"/>
        <w:rPr>
          <w:lang w:val="en-GB"/>
        </w:rPr>
      </w:pPr>
      <w:r>
        <w:rPr>
          <w:lang w:val="en-GB"/>
        </w:rPr>
        <w:t>Unlike the scheme explained in Section 2.2, the other extreme approach is to split the soft buffer in to two segments, where each of which is only used to accommodate the HARQ processes of one the two operations. An ex</w:t>
      </w:r>
      <w:r w:rsidR="00307063">
        <w:rPr>
          <w:lang w:val="en-GB"/>
        </w:rPr>
        <w:t>ample is shown in Figure 1</w:t>
      </w:r>
      <w:r>
        <w:rPr>
          <w:lang w:val="en-GB"/>
        </w:rPr>
        <w:t xml:space="preserve">, wherein </w:t>
      </w:r>
      <w:r w:rsidR="00307063">
        <w:rPr>
          <w:lang w:val="en-GB"/>
        </w:rPr>
        <w:t>four</w:t>
      </w:r>
      <w:r>
        <w:rPr>
          <w:lang w:val="en-GB"/>
        </w:rPr>
        <w:t xml:space="preserve"> of the HARQ processes originally assigned to the 1ms traffic are removed. This allows to use the freed-up space for providing 8 HARQ processes for the </w:t>
      </w:r>
      <w:r w:rsidR="00834F81">
        <w:rPr>
          <w:lang w:val="en-GB"/>
        </w:rPr>
        <w:t>1-slot</w:t>
      </w:r>
      <w:r>
        <w:rPr>
          <w:lang w:val="en-GB"/>
        </w:rPr>
        <w:t xml:space="preserve"> low latency operation.</w:t>
      </w:r>
    </w:p>
    <w:p w14:paraId="4D840E25" w14:textId="56199B9D" w:rsidR="00834F81" w:rsidRDefault="00834F81" w:rsidP="00834F81">
      <w:pPr>
        <w:keepNext/>
        <w:jc w:val="center"/>
      </w:pPr>
      <w:r>
        <w:object w:dxaOrig="17364" w:dyaOrig="4767" w14:anchorId="5C5D5A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8.25pt;height:122.25pt" o:ole="">
            <v:imagedata r:id="rId13" o:title=""/>
          </v:shape>
          <o:OLEObject Type="Embed" ProgID="Visio.Drawing.11" ShapeID="_x0000_i1025" DrawAspect="Content" ObjectID="_1547898967" r:id="rId14"/>
        </w:object>
      </w:r>
    </w:p>
    <w:p w14:paraId="7537861B" w14:textId="6AB6E62F" w:rsidR="00F2566F" w:rsidRPr="00F2566F" w:rsidRDefault="00834F81" w:rsidP="00834F81">
      <w:pPr>
        <w:pStyle w:val="Caption"/>
        <w:jc w:val="center"/>
        <w:rPr>
          <w:lang w:val="en-GB"/>
        </w:rPr>
      </w:pPr>
      <w:r>
        <w:t xml:space="preserve">Figure </w:t>
      </w:r>
      <w:fldSimple w:instr=" SEQ Figure \* ARABIC ">
        <w:r w:rsidR="00307063">
          <w:rPr>
            <w:noProof/>
          </w:rPr>
          <w:t>1</w:t>
        </w:r>
      </w:fldSimple>
      <w:r>
        <w:t>: The structure of the non-overlapped HARQ management with 1ms TTI and 1-slot sTTI.</w:t>
      </w:r>
    </w:p>
    <w:p w14:paraId="42C183E1" w14:textId="77777777" w:rsidR="00C47B1C" w:rsidRPr="00C47B1C" w:rsidRDefault="00C47B1C" w:rsidP="00C47B1C">
      <w:pPr>
        <w:rPr>
          <w:lang w:val="en-GB"/>
        </w:rPr>
      </w:pPr>
    </w:p>
    <w:p w14:paraId="01D9AF3D" w14:textId="094C587F" w:rsidR="000A3E19" w:rsidRPr="00B50DBE" w:rsidRDefault="00834F81" w:rsidP="009D64A4">
      <w:pPr>
        <w:jc w:val="both"/>
        <w:rPr>
          <w:lang w:val="en-GB"/>
        </w:rPr>
      </w:pPr>
      <w:r>
        <w:rPr>
          <w:lang w:val="en-GB"/>
        </w:rPr>
        <w:t>Similar to the previous approaches, only a 3-bit HARQ ID is sufficient to be included.</w:t>
      </w:r>
      <w:r w:rsidR="00B332F0">
        <w:rPr>
          <w:lang w:val="en-GB"/>
        </w:rPr>
        <w:t xml:space="preserve"> Again, this is true if </w:t>
      </w:r>
      <m:oMath>
        <m:r>
          <w:rPr>
            <w:rFonts w:ascii="Cambria Math" w:hAnsi="Cambria Math"/>
            <w:lang w:val="en-GB"/>
          </w:rPr>
          <m:t>n+4</m:t>
        </m:r>
      </m:oMath>
      <w:r w:rsidR="00B332F0">
        <w:rPr>
          <w:lang w:val="en-GB"/>
        </w:rPr>
        <w:t xml:space="preserve"> timing is assumed.</w:t>
      </w:r>
      <w:r>
        <w:rPr>
          <w:lang w:val="en-GB"/>
        </w:rPr>
        <w:t xml:space="preserve"> The benefit of this approach as compared to the preceding one is that it </w:t>
      </w:r>
      <w:r w:rsidR="00AF7EA9">
        <w:rPr>
          <w:lang w:val="en-GB"/>
        </w:rPr>
        <w:t xml:space="preserve">reserves some of the HARQ processes for 1ms only. Hence, 1ms TTI traffic type can be served more efficiently. </w:t>
      </w:r>
      <w:r>
        <w:rPr>
          <w:lang w:val="en-GB"/>
        </w:rPr>
        <w:t>However, unlike the previous approach, it does not enable using different TTI length for the initial transmission and the re-transmissions.</w:t>
      </w:r>
    </w:p>
    <w:p w14:paraId="3E648E1F" w14:textId="50337ED9" w:rsidR="00834F81" w:rsidRDefault="00834F81" w:rsidP="00834F81">
      <w:pPr>
        <w:pStyle w:val="Heading2"/>
        <w:rPr>
          <w:sz w:val="28"/>
        </w:rPr>
      </w:pPr>
      <w:r w:rsidRPr="000A3E19">
        <w:rPr>
          <w:sz w:val="28"/>
        </w:rPr>
        <w:t>2</w:t>
      </w:r>
      <w:r>
        <w:rPr>
          <w:sz w:val="28"/>
        </w:rPr>
        <w:t>.3</w:t>
      </w:r>
      <w:r w:rsidRPr="000A3E19">
        <w:rPr>
          <w:sz w:val="28"/>
        </w:rPr>
        <w:t xml:space="preserve"> </w:t>
      </w:r>
      <w:r>
        <w:rPr>
          <w:sz w:val="28"/>
        </w:rPr>
        <w:t>Partially-Overlapping HARQ Processes</w:t>
      </w:r>
    </w:p>
    <w:p w14:paraId="2A112333" w14:textId="7F440D91" w:rsidR="00307063" w:rsidRPr="00307063" w:rsidRDefault="00B332F0" w:rsidP="00307063">
      <w:pPr>
        <w:rPr>
          <w:lang w:val="en-GB"/>
        </w:rPr>
      </w:pPr>
      <w:r>
        <w:rPr>
          <w:lang w:val="en-GB"/>
        </w:rPr>
        <w:t xml:space="preserve">The partially </w:t>
      </w:r>
      <w:r w:rsidR="00307063">
        <w:rPr>
          <w:lang w:val="en-GB"/>
        </w:rPr>
        <w:t xml:space="preserve">overlapping HARQ management scheme combines the benefits of the two previous schemes. An example is shown in Figure 2, wherein two of the HARQ processes originally assigned to the 1ms traffic are replaced by 8 1-slot HARQ processes. In this case, process ID 0-3 are assigned to the 1ms legacy traffic, while all 12 HARQ processes can be used for a 1-slot low latency traffic. </w:t>
      </w:r>
    </w:p>
    <w:p w14:paraId="6A8C8FE6" w14:textId="77777777" w:rsidR="00307063" w:rsidRDefault="00801BBF" w:rsidP="00307063">
      <w:pPr>
        <w:keepNext/>
        <w:jc w:val="center"/>
      </w:pPr>
      <w:r>
        <w:object w:dxaOrig="17364" w:dyaOrig="4767" w14:anchorId="5778B01A">
          <v:shape id="_x0000_i1026" type="#_x0000_t75" style="width:420pt;height:114.75pt" o:ole="">
            <v:imagedata r:id="rId15" o:title=""/>
          </v:shape>
          <o:OLEObject Type="Embed" ProgID="Visio.Drawing.11" ShapeID="_x0000_i1026" DrawAspect="Content" ObjectID="_1547898968" r:id="rId16"/>
        </w:object>
      </w:r>
    </w:p>
    <w:p w14:paraId="629628F1" w14:textId="364EDE64" w:rsidR="00834F81" w:rsidRPr="00834F81" w:rsidRDefault="00307063" w:rsidP="00307063">
      <w:pPr>
        <w:pStyle w:val="Caption"/>
        <w:jc w:val="center"/>
        <w:rPr>
          <w:lang w:val="en-GB"/>
        </w:rPr>
      </w:pPr>
      <w:r>
        <w:t xml:space="preserve">Figure </w:t>
      </w:r>
      <w:fldSimple w:instr=" SEQ Figure \* ARABIC ">
        <w:r>
          <w:rPr>
            <w:noProof/>
          </w:rPr>
          <w:t>2</w:t>
        </w:r>
      </w:fldSimple>
      <w:r>
        <w:t>: The structure of the partially</w:t>
      </w:r>
      <w:r w:rsidRPr="00CD7D2B">
        <w:t>-overlapped HARQ management with 1ms TTI and 1-slot sTTI.</w:t>
      </w:r>
    </w:p>
    <w:p w14:paraId="3C829D62" w14:textId="5721778A" w:rsidR="00AF7EA9" w:rsidRDefault="00307063" w:rsidP="009D64A4">
      <w:pPr>
        <w:jc w:val="both"/>
      </w:pPr>
      <w:r w:rsidRPr="00307063">
        <w:t xml:space="preserve">Under this approach, not only </w:t>
      </w:r>
      <w:r w:rsidR="00AF7EA9">
        <w:t>the 1ms traffic can be served efficiently</w:t>
      </w:r>
      <w:r w:rsidRPr="00307063">
        <w:t xml:space="preserve">, but also it is possible to switch the TTI length between the legacy and sTTI operations. However, the shortcoming of this scheme is that, as compared to the previous approaches, a larger number of bits are </w:t>
      </w:r>
      <w:r w:rsidR="00B332F0">
        <w:t>required</w:t>
      </w:r>
      <w:r w:rsidRPr="00307063">
        <w:t xml:space="preserve"> </w:t>
      </w:r>
      <w:r w:rsidR="00E32F08">
        <w:t>to d</w:t>
      </w:r>
      <w:bookmarkStart w:id="3" w:name="_GoBack"/>
      <w:bookmarkEnd w:id="3"/>
      <w:r w:rsidR="00E32F08">
        <w:t>istinguish between the</w:t>
      </w:r>
      <w:r w:rsidRPr="00307063">
        <w:t xml:space="preserve"> HARQ processes.</w:t>
      </w:r>
    </w:p>
    <w:p w14:paraId="0556AFDF" w14:textId="3390690C" w:rsidR="00AF7EA9" w:rsidRDefault="00AF7EA9" w:rsidP="009D64A4">
      <w:pPr>
        <w:jc w:val="both"/>
      </w:pPr>
      <w:r>
        <w:t xml:space="preserve">As discussed so far, two main approaches can be considered for HARQ management when both the legacy and sTTI operations are supported: (1) increasing the soft buffer size, and (2) keeping the soft buffer size the same, while accommodating HARQ processes for both operations. For the latter approach, three different schemes are discussed, and their benefits and drawbacks are explained. </w:t>
      </w:r>
    </w:p>
    <w:p w14:paraId="461AB399" w14:textId="7340F3BD" w:rsidR="00AF7EA9" w:rsidRDefault="00AF7EA9" w:rsidP="009D64A4">
      <w:pPr>
        <w:jc w:val="both"/>
      </w:pPr>
      <w:r>
        <w:t>In order to devise an efficient HARQ management scheme, it should be noted that sharing a HARQ process across two different TTI length may not be a preferred approach. This is due to the fact that combining different traffic types at the UE and defining the required rules are challenging tasks.</w:t>
      </w:r>
    </w:p>
    <w:p w14:paraId="45C009B3" w14:textId="4DACA228" w:rsidR="00AF7EA9" w:rsidRDefault="00AF7EA9" w:rsidP="009D64A4">
      <w:pPr>
        <w:jc w:val="both"/>
      </w:pPr>
      <w:r>
        <w:t>Hence, we have:</w:t>
      </w:r>
    </w:p>
    <w:p w14:paraId="6ECA4388" w14:textId="77777777" w:rsidR="00D90176" w:rsidRDefault="00AF7EA9" w:rsidP="009D64A4">
      <w:pPr>
        <w:jc w:val="both"/>
        <w:rPr>
          <w:b/>
        </w:rPr>
      </w:pPr>
      <w:r w:rsidRPr="00D90176">
        <w:rPr>
          <w:b/>
        </w:rPr>
        <w:t>Proposal</w:t>
      </w:r>
      <w:r w:rsidR="00D90176">
        <w:rPr>
          <w:b/>
        </w:rPr>
        <w:t xml:space="preserve"> 1: For sTTI operation, HARQ management can be done through increasing the soft-buffer size and/or defining fully non-overlapping HARQ processes, while keeping the soft buffer size unchanged.</w:t>
      </w:r>
    </w:p>
    <w:p w14:paraId="1A47C065" w14:textId="360BB040" w:rsidR="00AF7EA9" w:rsidRPr="00D90176" w:rsidRDefault="00D90176" w:rsidP="009D64A4">
      <w:pPr>
        <w:jc w:val="both"/>
        <w:rPr>
          <w:b/>
        </w:rPr>
      </w:pPr>
      <w:r>
        <w:rPr>
          <w:b/>
        </w:rPr>
        <w:t xml:space="preserve">Proposal 2: The adopted scheme could possibly be different for the 2-symbol and 1-slot operations. </w:t>
      </w:r>
    </w:p>
    <w:bookmarkEnd w:id="2"/>
    <w:p w14:paraId="2F77E7C7" w14:textId="77777777" w:rsidR="00491EEE" w:rsidRDefault="006122CF" w:rsidP="00843B71">
      <w:pPr>
        <w:pStyle w:val="Heading1"/>
        <w:jc w:val="both"/>
      </w:pPr>
      <w:r w:rsidRPr="00E05A22">
        <w:lastRenderedPageBreak/>
        <w:t>3</w:t>
      </w:r>
      <w:r w:rsidR="00491EEE" w:rsidRPr="00E05A22">
        <w:tab/>
        <w:t xml:space="preserve">Conclusions </w:t>
      </w:r>
    </w:p>
    <w:p w14:paraId="506C23B4" w14:textId="77777777" w:rsidR="00D90176" w:rsidRDefault="00D90176" w:rsidP="00D90176">
      <w:pPr>
        <w:jc w:val="both"/>
        <w:rPr>
          <w:b/>
        </w:rPr>
      </w:pPr>
      <w:r w:rsidRPr="00D90176">
        <w:rPr>
          <w:b/>
        </w:rPr>
        <w:t>Proposal</w:t>
      </w:r>
      <w:r>
        <w:rPr>
          <w:b/>
        </w:rPr>
        <w:t xml:space="preserve"> 1: For sTTI operation, HARQ management can be done through increasing the soft-buffer size and/or defining fully non-overlapping HARQ processes, while keeping the soft buffer size unchanged.</w:t>
      </w:r>
    </w:p>
    <w:p w14:paraId="5FA29518" w14:textId="77777777" w:rsidR="00D90176" w:rsidRPr="00D90176" w:rsidRDefault="00D90176" w:rsidP="00D90176">
      <w:pPr>
        <w:jc w:val="both"/>
        <w:rPr>
          <w:b/>
        </w:rPr>
      </w:pPr>
      <w:r>
        <w:rPr>
          <w:b/>
        </w:rPr>
        <w:t xml:space="preserve">Proposal 2: The adopted scheme could possibly be different for the 2-symbol and 1-slot operations. </w:t>
      </w:r>
    </w:p>
    <w:p w14:paraId="05212290" w14:textId="4CCF869D" w:rsidR="009B3BC3" w:rsidRPr="009B3BC3" w:rsidRDefault="009B3BC3" w:rsidP="00D90176">
      <w:pPr>
        <w:jc w:val="both"/>
        <w:rPr>
          <w:b/>
        </w:rPr>
      </w:pPr>
    </w:p>
    <w:sectPr w:rsidR="009B3BC3" w:rsidRPr="009B3BC3" w:rsidSect="00E054B7">
      <w:headerReference w:type="even" r:id="rId17"/>
      <w:footerReference w:type="even" r:id="rId18"/>
      <w:footerReference w:type="default" r:id="rId19"/>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B310A8C" w14:textId="77777777" w:rsidR="00322BE3" w:rsidRDefault="00322BE3">
      <w:r>
        <w:separator/>
      </w:r>
    </w:p>
  </w:endnote>
  <w:endnote w:type="continuationSeparator" w:id="0">
    <w:p w14:paraId="6C62AA03" w14:textId="77777777" w:rsidR="00322BE3" w:rsidRDefault="00322BE3">
      <w:r>
        <w:continuationSeparator/>
      </w:r>
    </w:p>
  </w:endnote>
  <w:endnote w:type="continuationNotice" w:id="1">
    <w:p w14:paraId="3300E746" w14:textId="77777777" w:rsidR="00322BE3" w:rsidRDefault="00322BE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3873" w14:textId="77777777" w:rsidR="00DC5A5E" w:rsidRDefault="00DC5A5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BBC5E55" w14:textId="77777777" w:rsidR="00DC5A5E" w:rsidRDefault="00DC5A5E"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79E23B" w14:textId="790B9B39" w:rsidR="00DC5A5E" w:rsidRDefault="00DC5A5E"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B332F0">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332F0">
      <w:rPr>
        <w:rStyle w:val="PageNumber"/>
      </w:rPr>
      <w:t>3</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53B388C" w14:textId="77777777" w:rsidR="00322BE3" w:rsidRDefault="00322BE3">
      <w:r>
        <w:separator/>
      </w:r>
    </w:p>
  </w:footnote>
  <w:footnote w:type="continuationSeparator" w:id="0">
    <w:p w14:paraId="687E5829" w14:textId="77777777" w:rsidR="00322BE3" w:rsidRDefault="00322BE3">
      <w:r>
        <w:continuationSeparator/>
      </w:r>
    </w:p>
  </w:footnote>
  <w:footnote w:type="continuationNotice" w:id="1">
    <w:p w14:paraId="4218A07B" w14:textId="77777777" w:rsidR="00322BE3" w:rsidRDefault="00322BE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2188DA" w14:textId="77777777" w:rsidR="00DC5A5E" w:rsidRDefault="00DC5A5E">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24D3567"/>
    <w:multiLevelType w:val="hybridMultilevel"/>
    <w:tmpl w:val="DFC8B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5C06255"/>
    <w:multiLevelType w:val="hybridMultilevel"/>
    <w:tmpl w:val="92BEF55E"/>
    <w:lvl w:ilvl="0" w:tplc="FD82267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6"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59C6468"/>
    <w:multiLevelType w:val="hybridMultilevel"/>
    <w:tmpl w:val="76E809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007162B"/>
    <w:multiLevelType w:val="hybridMultilevel"/>
    <w:tmpl w:val="4BA455AA"/>
    <w:lvl w:ilvl="0" w:tplc="23943C08">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1"/>
  </w:num>
  <w:num w:numId="3">
    <w:abstractNumId w:val="10"/>
  </w:num>
  <w:num w:numId="4">
    <w:abstractNumId w:val="0"/>
  </w:num>
  <w:num w:numId="5">
    <w:abstractNumId w:val="3"/>
  </w:num>
  <w:num w:numId="6">
    <w:abstractNumId w:val="12"/>
  </w:num>
  <w:num w:numId="7">
    <w:abstractNumId w:val="7"/>
  </w:num>
  <w:num w:numId="8">
    <w:abstractNumId w:val="8"/>
  </w:num>
  <w:num w:numId="9">
    <w:abstractNumId w:val="6"/>
  </w:num>
  <w:num w:numId="10">
    <w:abstractNumId w:val="11"/>
  </w:num>
  <w:num w:numId="11">
    <w:abstractNumId w:val="2"/>
  </w:num>
  <w:num w:numId="12">
    <w:abstractNumId w:val="4"/>
  </w:num>
  <w:num w:numId="13">
    <w:abstractNumId w:val="9"/>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activeWritingStyle w:appName="MSWord" w:lang="en-GB" w:vendorID="64" w:dllVersion="131078" w:nlCheck="1" w:checkStyle="0"/>
  <w:activeWritingStyle w:appName="MSWord" w:lang="en-US" w:vendorID="64" w:dllVersion="131078" w:nlCheck="1" w:checkStyle="0"/>
  <w:activeWritingStyle w:appName="MSWord" w:lang="fr-FR" w:vendorID="64" w:dllVersion="131078" w:nlCheck="1" w:checkStyle="1"/>
  <w:activeWritingStyle w:appName="MSWord" w:lang="es-ES" w:vendorID="64" w:dllVersion="131078" w:nlCheck="1" w:checkStyle="1"/>
  <w:activeWritingStyle w:appName="MSWord" w:lang="en-AU" w:vendorID="64" w:dllVersion="131078"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0AF"/>
    <w:rsid w:val="000004BF"/>
    <w:rsid w:val="00000515"/>
    <w:rsid w:val="0000140A"/>
    <w:rsid w:val="00001D0A"/>
    <w:rsid w:val="00001FC3"/>
    <w:rsid w:val="000020FE"/>
    <w:rsid w:val="00003131"/>
    <w:rsid w:val="000037FB"/>
    <w:rsid w:val="00004961"/>
    <w:rsid w:val="00005060"/>
    <w:rsid w:val="00005622"/>
    <w:rsid w:val="0000618A"/>
    <w:rsid w:val="000066D9"/>
    <w:rsid w:val="000070D4"/>
    <w:rsid w:val="00007730"/>
    <w:rsid w:val="0001014C"/>
    <w:rsid w:val="00010383"/>
    <w:rsid w:val="00010B78"/>
    <w:rsid w:val="000114B4"/>
    <w:rsid w:val="0001172E"/>
    <w:rsid w:val="00011F5D"/>
    <w:rsid w:val="000129BA"/>
    <w:rsid w:val="000136A3"/>
    <w:rsid w:val="00014DD7"/>
    <w:rsid w:val="00014E0B"/>
    <w:rsid w:val="00015530"/>
    <w:rsid w:val="00015962"/>
    <w:rsid w:val="000162B2"/>
    <w:rsid w:val="000164DE"/>
    <w:rsid w:val="00016B4C"/>
    <w:rsid w:val="00017013"/>
    <w:rsid w:val="00017047"/>
    <w:rsid w:val="00017CBD"/>
    <w:rsid w:val="000205C1"/>
    <w:rsid w:val="00020D61"/>
    <w:rsid w:val="0002130A"/>
    <w:rsid w:val="00021DEC"/>
    <w:rsid w:val="000222F7"/>
    <w:rsid w:val="000235D7"/>
    <w:rsid w:val="00023C29"/>
    <w:rsid w:val="00023FEE"/>
    <w:rsid w:val="000248E7"/>
    <w:rsid w:val="000254DC"/>
    <w:rsid w:val="000255A1"/>
    <w:rsid w:val="000259FF"/>
    <w:rsid w:val="00025C61"/>
    <w:rsid w:val="000266AE"/>
    <w:rsid w:val="00026905"/>
    <w:rsid w:val="000300FE"/>
    <w:rsid w:val="00030F08"/>
    <w:rsid w:val="00030F74"/>
    <w:rsid w:val="000319C1"/>
    <w:rsid w:val="00031EDD"/>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3A47"/>
    <w:rsid w:val="00054F5A"/>
    <w:rsid w:val="00055B35"/>
    <w:rsid w:val="0005602E"/>
    <w:rsid w:val="00056057"/>
    <w:rsid w:val="000565AE"/>
    <w:rsid w:val="000570A3"/>
    <w:rsid w:val="000570E2"/>
    <w:rsid w:val="0005759C"/>
    <w:rsid w:val="00057F6C"/>
    <w:rsid w:val="00060BE0"/>
    <w:rsid w:val="00060D34"/>
    <w:rsid w:val="00060FDB"/>
    <w:rsid w:val="000612C5"/>
    <w:rsid w:val="00062CA8"/>
    <w:rsid w:val="00063E21"/>
    <w:rsid w:val="00063F57"/>
    <w:rsid w:val="0006549C"/>
    <w:rsid w:val="0006633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EB9"/>
    <w:rsid w:val="000801D8"/>
    <w:rsid w:val="00080783"/>
    <w:rsid w:val="0008257A"/>
    <w:rsid w:val="00083322"/>
    <w:rsid w:val="000840E7"/>
    <w:rsid w:val="00084255"/>
    <w:rsid w:val="00084C78"/>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D72"/>
    <w:rsid w:val="000A0E99"/>
    <w:rsid w:val="000A19B6"/>
    <w:rsid w:val="000A1D49"/>
    <w:rsid w:val="000A1FB3"/>
    <w:rsid w:val="000A2AA6"/>
    <w:rsid w:val="000A356B"/>
    <w:rsid w:val="000A3ACB"/>
    <w:rsid w:val="000A3E19"/>
    <w:rsid w:val="000A4B74"/>
    <w:rsid w:val="000A6466"/>
    <w:rsid w:val="000A6788"/>
    <w:rsid w:val="000A6CFE"/>
    <w:rsid w:val="000B1B68"/>
    <w:rsid w:val="000B1CD3"/>
    <w:rsid w:val="000B1FBE"/>
    <w:rsid w:val="000B23E2"/>
    <w:rsid w:val="000B245F"/>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D037E"/>
    <w:rsid w:val="000D0C91"/>
    <w:rsid w:val="000D0F9A"/>
    <w:rsid w:val="000D11B1"/>
    <w:rsid w:val="000D148D"/>
    <w:rsid w:val="000D1570"/>
    <w:rsid w:val="000D1610"/>
    <w:rsid w:val="000D1842"/>
    <w:rsid w:val="000D1A08"/>
    <w:rsid w:val="000D2920"/>
    <w:rsid w:val="000D2E6D"/>
    <w:rsid w:val="000D3387"/>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8"/>
    <w:rsid w:val="000E6D5F"/>
    <w:rsid w:val="000E6F62"/>
    <w:rsid w:val="000E76B5"/>
    <w:rsid w:val="000F02E7"/>
    <w:rsid w:val="000F0CCA"/>
    <w:rsid w:val="000F1313"/>
    <w:rsid w:val="000F15E6"/>
    <w:rsid w:val="000F1CF3"/>
    <w:rsid w:val="000F2944"/>
    <w:rsid w:val="000F2AD9"/>
    <w:rsid w:val="000F4734"/>
    <w:rsid w:val="000F4F44"/>
    <w:rsid w:val="000F6974"/>
    <w:rsid w:val="000F6AFA"/>
    <w:rsid w:val="000F7452"/>
    <w:rsid w:val="000F794D"/>
    <w:rsid w:val="000F7B94"/>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1011"/>
    <w:rsid w:val="001115C0"/>
    <w:rsid w:val="00111AD9"/>
    <w:rsid w:val="00112B8F"/>
    <w:rsid w:val="00112CFB"/>
    <w:rsid w:val="001134DA"/>
    <w:rsid w:val="001140FA"/>
    <w:rsid w:val="001146A3"/>
    <w:rsid w:val="00114B8D"/>
    <w:rsid w:val="00114EA7"/>
    <w:rsid w:val="00115B96"/>
    <w:rsid w:val="00116B51"/>
    <w:rsid w:val="00117957"/>
    <w:rsid w:val="00117C13"/>
    <w:rsid w:val="00117FB6"/>
    <w:rsid w:val="00120545"/>
    <w:rsid w:val="00121412"/>
    <w:rsid w:val="00123993"/>
    <w:rsid w:val="0012467D"/>
    <w:rsid w:val="00124A01"/>
    <w:rsid w:val="00124D4C"/>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61D"/>
    <w:rsid w:val="001418FE"/>
    <w:rsid w:val="00142093"/>
    <w:rsid w:val="0014244B"/>
    <w:rsid w:val="0014371C"/>
    <w:rsid w:val="001437AD"/>
    <w:rsid w:val="00143A51"/>
    <w:rsid w:val="00143FFE"/>
    <w:rsid w:val="0014452E"/>
    <w:rsid w:val="00144F22"/>
    <w:rsid w:val="001459EB"/>
    <w:rsid w:val="001461C2"/>
    <w:rsid w:val="00146E5E"/>
    <w:rsid w:val="0014719D"/>
    <w:rsid w:val="00147B5F"/>
    <w:rsid w:val="00147D67"/>
    <w:rsid w:val="00147E88"/>
    <w:rsid w:val="0015019F"/>
    <w:rsid w:val="00151516"/>
    <w:rsid w:val="00151805"/>
    <w:rsid w:val="00151D5F"/>
    <w:rsid w:val="001529E0"/>
    <w:rsid w:val="00152BA8"/>
    <w:rsid w:val="00153A6B"/>
    <w:rsid w:val="00153E38"/>
    <w:rsid w:val="001544AB"/>
    <w:rsid w:val="0015452C"/>
    <w:rsid w:val="00154BE2"/>
    <w:rsid w:val="00155732"/>
    <w:rsid w:val="00155E24"/>
    <w:rsid w:val="001560ED"/>
    <w:rsid w:val="001563F1"/>
    <w:rsid w:val="001572A5"/>
    <w:rsid w:val="0015737A"/>
    <w:rsid w:val="00157847"/>
    <w:rsid w:val="00160786"/>
    <w:rsid w:val="00160A67"/>
    <w:rsid w:val="00161AEB"/>
    <w:rsid w:val="00162262"/>
    <w:rsid w:val="00162BD5"/>
    <w:rsid w:val="001630E4"/>
    <w:rsid w:val="001639BC"/>
    <w:rsid w:val="0016465B"/>
    <w:rsid w:val="001647FA"/>
    <w:rsid w:val="00166868"/>
    <w:rsid w:val="001669CF"/>
    <w:rsid w:val="00167857"/>
    <w:rsid w:val="00167C50"/>
    <w:rsid w:val="00172414"/>
    <w:rsid w:val="00172C20"/>
    <w:rsid w:val="001746E6"/>
    <w:rsid w:val="00174883"/>
    <w:rsid w:val="00174DDB"/>
    <w:rsid w:val="001752EC"/>
    <w:rsid w:val="001755CA"/>
    <w:rsid w:val="00175891"/>
    <w:rsid w:val="001758E7"/>
    <w:rsid w:val="00175B5A"/>
    <w:rsid w:val="00177A0D"/>
    <w:rsid w:val="00177EBD"/>
    <w:rsid w:val="0018016C"/>
    <w:rsid w:val="00181B3A"/>
    <w:rsid w:val="001820B2"/>
    <w:rsid w:val="001828E0"/>
    <w:rsid w:val="00183A98"/>
    <w:rsid w:val="00185E59"/>
    <w:rsid w:val="001907C8"/>
    <w:rsid w:val="00191727"/>
    <w:rsid w:val="00191924"/>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D0452"/>
    <w:rsid w:val="001D0A88"/>
    <w:rsid w:val="001D0F21"/>
    <w:rsid w:val="001D1258"/>
    <w:rsid w:val="001D1461"/>
    <w:rsid w:val="001D1CFF"/>
    <w:rsid w:val="001D214F"/>
    <w:rsid w:val="001D2E6C"/>
    <w:rsid w:val="001D333B"/>
    <w:rsid w:val="001D506F"/>
    <w:rsid w:val="001D57BC"/>
    <w:rsid w:val="001D59DC"/>
    <w:rsid w:val="001D6EEB"/>
    <w:rsid w:val="001D6F30"/>
    <w:rsid w:val="001D7260"/>
    <w:rsid w:val="001D7816"/>
    <w:rsid w:val="001D784C"/>
    <w:rsid w:val="001D7B96"/>
    <w:rsid w:val="001E216A"/>
    <w:rsid w:val="001E220A"/>
    <w:rsid w:val="001E2419"/>
    <w:rsid w:val="001E24F9"/>
    <w:rsid w:val="001E2C1A"/>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3944"/>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6D1"/>
    <w:rsid w:val="00210812"/>
    <w:rsid w:val="00210A2E"/>
    <w:rsid w:val="00210C91"/>
    <w:rsid w:val="002116CA"/>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5F2E"/>
    <w:rsid w:val="00236F71"/>
    <w:rsid w:val="00237779"/>
    <w:rsid w:val="00237AE0"/>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0D28"/>
    <w:rsid w:val="002727C8"/>
    <w:rsid w:val="00272FEB"/>
    <w:rsid w:val="002738C9"/>
    <w:rsid w:val="00273B2D"/>
    <w:rsid w:val="00273CFB"/>
    <w:rsid w:val="002756D5"/>
    <w:rsid w:val="0027598E"/>
    <w:rsid w:val="00275AD2"/>
    <w:rsid w:val="00276AA1"/>
    <w:rsid w:val="0027702F"/>
    <w:rsid w:val="0027723B"/>
    <w:rsid w:val="0027731D"/>
    <w:rsid w:val="00277E66"/>
    <w:rsid w:val="00277EB5"/>
    <w:rsid w:val="00277EC3"/>
    <w:rsid w:val="00277F86"/>
    <w:rsid w:val="002801E2"/>
    <w:rsid w:val="00280B1C"/>
    <w:rsid w:val="0028205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C52"/>
    <w:rsid w:val="002923B9"/>
    <w:rsid w:val="00292C30"/>
    <w:rsid w:val="0029308D"/>
    <w:rsid w:val="00293467"/>
    <w:rsid w:val="00293504"/>
    <w:rsid w:val="002944CA"/>
    <w:rsid w:val="00295C43"/>
    <w:rsid w:val="0029639B"/>
    <w:rsid w:val="00296FD8"/>
    <w:rsid w:val="0029743A"/>
    <w:rsid w:val="00297DBE"/>
    <w:rsid w:val="002A0724"/>
    <w:rsid w:val="002A07C1"/>
    <w:rsid w:val="002A08EC"/>
    <w:rsid w:val="002A1DF0"/>
    <w:rsid w:val="002A205B"/>
    <w:rsid w:val="002A3668"/>
    <w:rsid w:val="002A53DF"/>
    <w:rsid w:val="002B03CD"/>
    <w:rsid w:val="002B07BF"/>
    <w:rsid w:val="002B0805"/>
    <w:rsid w:val="002B0FD5"/>
    <w:rsid w:val="002B11A0"/>
    <w:rsid w:val="002B26D2"/>
    <w:rsid w:val="002B2C92"/>
    <w:rsid w:val="002B318B"/>
    <w:rsid w:val="002B3BD3"/>
    <w:rsid w:val="002B3D90"/>
    <w:rsid w:val="002B475D"/>
    <w:rsid w:val="002B4B75"/>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A7E"/>
    <w:rsid w:val="002D68CF"/>
    <w:rsid w:val="002E042F"/>
    <w:rsid w:val="002E0AC5"/>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B29"/>
    <w:rsid w:val="002E6C03"/>
    <w:rsid w:val="002F0045"/>
    <w:rsid w:val="002F025B"/>
    <w:rsid w:val="002F1E03"/>
    <w:rsid w:val="002F2AE0"/>
    <w:rsid w:val="002F2FB7"/>
    <w:rsid w:val="002F3827"/>
    <w:rsid w:val="002F413F"/>
    <w:rsid w:val="002F44AD"/>
    <w:rsid w:val="002F45D3"/>
    <w:rsid w:val="002F5C18"/>
    <w:rsid w:val="002F5FDA"/>
    <w:rsid w:val="002F6BE6"/>
    <w:rsid w:val="002F7D48"/>
    <w:rsid w:val="0030000D"/>
    <w:rsid w:val="003005AC"/>
    <w:rsid w:val="00300A26"/>
    <w:rsid w:val="003011C0"/>
    <w:rsid w:val="0030121F"/>
    <w:rsid w:val="00301890"/>
    <w:rsid w:val="003024DE"/>
    <w:rsid w:val="00302701"/>
    <w:rsid w:val="00303442"/>
    <w:rsid w:val="003044B9"/>
    <w:rsid w:val="00307063"/>
    <w:rsid w:val="003073BB"/>
    <w:rsid w:val="00307683"/>
    <w:rsid w:val="00307B27"/>
    <w:rsid w:val="00307D3F"/>
    <w:rsid w:val="0031013F"/>
    <w:rsid w:val="00311941"/>
    <w:rsid w:val="003123EA"/>
    <w:rsid w:val="003125FA"/>
    <w:rsid w:val="00313C4F"/>
    <w:rsid w:val="003158FE"/>
    <w:rsid w:val="00316717"/>
    <w:rsid w:val="00317050"/>
    <w:rsid w:val="00320B56"/>
    <w:rsid w:val="00320F94"/>
    <w:rsid w:val="00322BE3"/>
    <w:rsid w:val="003230B0"/>
    <w:rsid w:val="00323268"/>
    <w:rsid w:val="00325F5C"/>
    <w:rsid w:val="003268CF"/>
    <w:rsid w:val="00326974"/>
    <w:rsid w:val="00327A0A"/>
    <w:rsid w:val="0033007D"/>
    <w:rsid w:val="0033027D"/>
    <w:rsid w:val="003308C4"/>
    <w:rsid w:val="00330DE8"/>
    <w:rsid w:val="00331EDC"/>
    <w:rsid w:val="003323F3"/>
    <w:rsid w:val="0033306E"/>
    <w:rsid w:val="00333DC8"/>
    <w:rsid w:val="00335250"/>
    <w:rsid w:val="0033592C"/>
    <w:rsid w:val="00335B9C"/>
    <w:rsid w:val="00336164"/>
    <w:rsid w:val="0034150F"/>
    <w:rsid w:val="0034298C"/>
    <w:rsid w:val="0034305B"/>
    <w:rsid w:val="00343E84"/>
    <w:rsid w:val="003444EB"/>
    <w:rsid w:val="00344778"/>
    <w:rsid w:val="00344F78"/>
    <w:rsid w:val="0034511B"/>
    <w:rsid w:val="00345740"/>
    <w:rsid w:val="003504EC"/>
    <w:rsid w:val="003509B5"/>
    <w:rsid w:val="00350EF6"/>
    <w:rsid w:val="00351118"/>
    <w:rsid w:val="00351B79"/>
    <w:rsid w:val="0035244F"/>
    <w:rsid w:val="00352DAE"/>
    <w:rsid w:val="00353295"/>
    <w:rsid w:val="003539B2"/>
    <w:rsid w:val="00353A56"/>
    <w:rsid w:val="00353D7D"/>
    <w:rsid w:val="0035414B"/>
    <w:rsid w:val="00354387"/>
    <w:rsid w:val="00354D13"/>
    <w:rsid w:val="00355C3F"/>
    <w:rsid w:val="00355DD1"/>
    <w:rsid w:val="00356CEC"/>
    <w:rsid w:val="00357034"/>
    <w:rsid w:val="00357522"/>
    <w:rsid w:val="003576D7"/>
    <w:rsid w:val="00357712"/>
    <w:rsid w:val="0036185C"/>
    <w:rsid w:val="00361AFA"/>
    <w:rsid w:val="00362C5A"/>
    <w:rsid w:val="00362FFF"/>
    <w:rsid w:val="00364283"/>
    <w:rsid w:val="003643CE"/>
    <w:rsid w:val="00364C7A"/>
    <w:rsid w:val="0036641B"/>
    <w:rsid w:val="003670A6"/>
    <w:rsid w:val="00367CE6"/>
    <w:rsid w:val="00370042"/>
    <w:rsid w:val="00370285"/>
    <w:rsid w:val="003703C5"/>
    <w:rsid w:val="00370EFD"/>
    <w:rsid w:val="0037164C"/>
    <w:rsid w:val="003719F5"/>
    <w:rsid w:val="00372A6B"/>
    <w:rsid w:val="003741D2"/>
    <w:rsid w:val="00374804"/>
    <w:rsid w:val="00374F06"/>
    <w:rsid w:val="00375BD2"/>
    <w:rsid w:val="003764FA"/>
    <w:rsid w:val="00376A34"/>
    <w:rsid w:val="00376AD6"/>
    <w:rsid w:val="00376C0D"/>
    <w:rsid w:val="0037709A"/>
    <w:rsid w:val="003773C7"/>
    <w:rsid w:val="00377569"/>
    <w:rsid w:val="00377A68"/>
    <w:rsid w:val="00377CE8"/>
    <w:rsid w:val="003810EA"/>
    <w:rsid w:val="003811F7"/>
    <w:rsid w:val="0038166A"/>
    <w:rsid w:val="0038187D"/>
    <w:rsid w:val="003821E7"/>
    <w:rsid w:val="00382B96"/>
    <w:rsid w:val="00383130"/>
    <w:rsid w:val="00383D4B"/>
    <w:rsid w:val="003848D9"/>
    <w:rsid w:val="00385DBB"/>
    <w:rsid w:val="00386B71"/>
    <w:rsid w:val="003871D9"/>
    <w:rsid w:val="00387771"/>
    <w:rsid w:val="00387B4D"/>
    <w:rsid w:val="003908C2"/>
    <w:rsid w:val="0039178D"/>
    <w:rsid w:val="00392C0A"/>
    <w:rsid w:val="00393367"/>
    <w:rsid w:val="00393B78"/>
    <w:rsid w:val="00393B7F"/>
    <w:rsid w:val="003942A4"/>
    <w:rsid w:val="00394E4F"/>
    <w:rsid w:val="003959A9"/>
    <w:rsid w:val="0039665F"/>
    <w:rsid w:val="00396D81"/>
    <w:rsid w:val="003A0311"/>
    <w:rsid w:val="003A0F88"/>
    <w:rsid w:val="003A12CF"/>
    <w:rsid w:val="003A1341"/>
    <w:rsid w:val="003A19E0"/>
    <w:rsid w:val="003A1C4F"/>
    <w:rsid w:val="003A1DD5"/>
    <w:rsid w:val="003A336B"/>
    <w:rsid w:val="003A41B3"/>
    <w:rsid w:val="003A42BB"/>
    <w:rsid w:val="003A5125"/>
    <w:rsid w:val="003A590E"/>
    <w:rsid w:val="003A6D8E"/>
    <w:rsid w:val="003B0B4D"/>
    <w:rsid w:val="003B1041"/>
    <w:rsid w:val="003B1E84"/>
    <w:rsid w:val="003B2360"/>
    <w:rsid w:val="003B3F9B"/>
    <w:rsid w:val="003B47B7"/>
    <w:rsid w:val="003B4FDE"/>
    <w:rsid w:val="003B5051"/>
    <w:rsid w:val="003B570F"/>
    <w:rsid w:val="003B5BA9"/>
    <w:rsid w:val="003B5E30"/>
    <w:rsid w:val="003B6256"/>
    <w:rsid w:val="003B640C"/>
    <w:rsid w:val="003B6FCB"/>
    <w:rsid w:val="003C00D9"/>
    <w:rsid w:val="003C0FB1"/>
    <w:rsid w:val="003C1734"/>
    <w:rsid w:val="003C1F75"/>
    <w:rsid w:val="003C23C3"/>
    <w:rsid w:val="003C28E6"/>
    <w:rsid w:val="003C4F25"/>
    <w:rsid w:val="003C5113"/>
    <w:rsid w:val="003C5FE4"/>
    <w:rsid w:val="003C6E9F"/>
    <w:rsid w:val="003C7CE7"/>
    <w:rsid w:val="003D0246"/>
    <w:rsid w:val="003D09DA"/>
    <w:rsid w:val="003D0A1E"/>
    <w:rsid w:val="003D12AF"/>
    <w:rsid w:val="003D132A"/>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41BC"/>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A66"/>
    <w:rsid w:val="00417232"/>
    <w:rsid w:val="004179D9"/>
    <w:rsid w:val="004201DE"/>
    <w:rsid w:val="00420CB7"/>
    <w:rsid w:val="0042156E"/>
    <w:rsid w:val="0042221A"/>
    <w:rsid w:val="00422A10"/>
    <w:rsid w:val="00422F31"/>
    <w:rsid w:val="004243CC"/>
    <w:rsid w:val="004244C5"/>
    <w:rsid w:val="00425C97"/>
    <w:rsid w:val="00426034"/>
    <w:rsid w:val="0042654A"/>
    <w:rsid w:val="00426761"/>
    <w:rsid w:val="00426AA7"/>
    <w:rsid w:val="00427478"/>
    <w:rsid w:val="004276E3"/>
    <w:rsid w:val="0042795C"/>
    <w:rsid w:val="00427E67"/>
    <w:rsid w:val="00430178"/>
    <w:rsid w:val="00430250"/>
    <w:rsid w:val="004309F8"/>
    <w:rsid w:val="00431843"/>
    <w:rsid w:val="0043270B"/>
    <w:rsid w:val="00432E20"/>
    <w:rsid w:val="00432F8F"/>
    <w:rsid w:val="0043424B"/>
    <w:rsid w:val="0043480E"/>
    <w:rsid w:val="004355EB"/>
    <w:rsid w:val="00435602"/>
    <w:rsid w:val="00435635"/>
    <w:rsid w:val="004356FA"/>
    <w:rsid w:val="00435CCF"/>
    <w:rsid w:val="004365C5"/>
    <w:rsid w:val="00437179"/>
    <w:rsid w:val="004371AB"/>
    <w:rsid w:val="0044035D"/>
    <w:rsid w:val="0044166C"/>
    <w:rsid w:val="00441FE8"/>
    <w:rsid w:val="00442856"/>
    <w:rsid w:val="00442AF0"/>
    <w:rsid w:val="004430FD"/>
    <w:rsid w:val="00443D9E"/>
    <w:rsid w:val="00443DFB"/>
    <w:rsid w:val="004442A7"/>
    <w:rsid w:val="00444D83"/>
    <w:rsid w:val="00444E09"/>
    <w:rsid w:val="00444F64"/>
    <w:rsid w:val="004450CE"/>
    <w:rsid w:val="00445513"/>
    <w:rsid w:val="00445CFF"/>
    <w:rsid w:val="004462AF"/>
    <w:rsid w:val="00446D2B"/>
    <w:rsid w:val="00450D3B"/>
    <w:rsid w:val="00450D54"/>
    <w:rsid w:val="00450E4C"/>
    <w:rsid w:val="004518D5"/>
    <w:rsid w:val="00451B17"/>
    <w:rsid w:val="00451BEB"/>
    <w:rsid w:val="00451E3C"/>
    <w:rsid w:val="00452016"/>
    <w:rsid w:val="00452891"/>
    <w:rsid w:val="00453DEF"/>
    <w:rsid w:val="004543E4"/>
    <w:rsid w:val="004548E5"/>
    <w:rsid w:val="00456114"/>
    <w:rsid w:val="004562F8"/>
    <w:rsid w:val="00456971"/>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70B3"/>
    <w:rsid w:val="00467A56"/>
    <w:rsid w:val="00467B21"/>
    <w:rsid w:val="00470750"/>
    <w:rsid w:val="004707FD"/>
    <w:rsid w:val="00471856"/>
    <w:rsid w:val="00472A81"/>
    <w:rsid w:val="00472D98"/>
    <w:rsid w:val="0047343E"/>
    <w:rsid w:val="00473779"/>
    <w:rsid w:val="00473839"/>
    <w:rsid w:val="00473AD0"/>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498"/>
    <w:rsid w:val="00484C46"/>
    <w:rsid w:val="00485E8A"/>
    <w:rsid w:val="00485E94"/>
    <w:rsid w:val="004860F5"/>
    <w:rsid w:val="00486EEB"/>
    <w:rsid w:val="0048729C"/>
    <w:rsid w:val="00487778"/>
    <w:rsid w:val="004877AA"/>
    <w:rsid w:val="00487852"/>
    <w:rsid w:val="00487C42"/>
    <w:rsid w:val="00490165"/>
    <w:rsid w:val="0049055A"/>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CFF"/>
    <w:rsid w:val="004A4D38"/>
    <w:rsid w:val="004A4E7E"/>
    <w:rsid w:val="004A5312"/>
    <w:rsid w:val="004A57FC"/>
    <w:rsid w:val="004A5A64"/>
    <w:rsid w:val="004A5E0C"/>
    <w:rsid w:val="004A6F8B"/>
    <w:rsid w:val="004A705C"/>
    <w:rsid w:val="004A710E"/>
    <w:rsid w:val="004A71A7"/>
    <w:rsid w:val="004A7FB0"/>
    <w:rsid w:val="004B0372"/>
    <w:rsid w:val="004B038D"/>
    <w:rsid w:val="004B0FC0"/>
    <w:rsid w:val="004B1313"/>
    <w:rsid w:val="004B1C42"/>
    <w:rsid w:val="004B2B31"/>
    <w:rsid w:val="004B3C3F"/>
    <w:rsid w:val="004B3CE9"/>
    <w:rsid w:val="004B4D0A"/>
    <w:rsid w:val="004B566D"/>
    <w:rsid w:val="004B5C0C"/>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654C"/>
    <w:rsid w:val="004C68DA"/>
    <w:rsid w:val="004C6A7B"/>
    <w:rsid w:val="004C6ED4"/>
    <w:rsid w:val="004C70A2"/>
    <w:rsid w:val="004C7384"/>
    <w:rsid w:val="004C7BDF"/>
    <w:rsid w:val="004D1A33"/>
    <w:rsid w:val="004D1D64"/>
    <w:rsid w:val="004D25FC"/>
    <w:rsid w:val="004D2848"/>
    <w:rsid w:val="004D2C45"/>
    <w:rsid w:val="004D2CDA"/>
    <w:rsid w:val="004D2DAF"/>
    <w:rsid w:val="004D3EB5"/>
    <w:rsid w:val="004D3F7D"/>
    <w:rsid w:val="004D4968"/>
    <w:rsid w:val="004D5F40"/>
    <w:rsid w:val="004D6240"/>
    <w:rsid w:val="004D6794"/>
    <w:rsid w:val="004E0289"/>
    <w:rsid w:val="004E03BE"/>
    <w:rsid w:val="004E0821"/>
    <w:rsid w:val="004E0BDC"/>
    <w:rsid w:val="004E0CD0"/>
    <w:rsid w:val="004E0E39"/>
    <w:rsid w:val="004E12EB"/>
    <w:rsid w:val="004E1498"/>
    <w:rsid w:val="004E3FD8"/>
    <w:rsid w:val="004E4503"/>
    <w:rsid w:val="004E4FE3"/>
    <w:rsid w:val="004E53AE"/>
    <w:rsid w:val="004E5A69"/>
    <w:rsid w:val="004E5C61"/>
    <w:rsid w:val="004E6184"/>
    <w:rsid w:val="004E6875"/>
    <w:rsid w:val="004E6C9B"/>
    <w:rsid w:val="004E6D32"/>
    <w:rsid w:val="004E6E54"/>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B89"/>
    <w:rsid w:val="00517C3B"/>
    <w:rsid w:val="0052001B"/>
    <w:rsid w:val="00521D65"/>
    <w:rsid w:val="00522592"/>
    <w:rsid w:val="00522E36"/>
    <w:rsid w:val="00523B71"/>
    <w:rsid w:val="00523F32"/>
    <w:rsid w:val="005251DA"/>
    <w:rsid w:val="00525515"/>
    <w:rsid w:val="005255CE"/>
    <w:rsid w:val="00525CAE"/>
    <w:rsid w:val="00526C8A"/>
    <w:rsid w:val="00527489"/>
    <w:rsid w:val="00527DB2"/>
    <w:rsid w:val="00530BD5"/>
    <w:rsid w:val="00531307"/>
    <w:rsid w:val="0053173A"/>
    <w:rsid w:val="00531824"/>
    <w:rsid w:val="00532462"/>
    <w:rsid w:val="00532976"/>
    <w:rsid w:val="00533215"/>
    <w:rsid w:val="005339D2"/>
    <w:rsid w:val="0053437E"/>
    <w:rsid w:val="005349EB"/>
    <w:rsid w:val="00534D96"/>
    <w:rsid w:val="0053542C"/>
    <w:rsid w:val="005408FD"/>
    <w:rsid w:val="005417A0"/>
    <w:rsid w:val="005422E8"/>
    <w:rsid w:val="005426C4"/>
    <w:rsid w:val="00543342"/>
    <w:rsid w:val="00543A66"/>
    <w:rsid w:val="0054556C"/>
    <w:rsid w:val="0054556F"/>
    <w:rsid w:val="00546738"/>
    <w:rsid w:val="005467D6"/>
    <w:rsid w:val="00546942"/>
    <w:rsid w:val="00546ACE"/>
    <w:rsid w:val="00546D42"/>
    <w:rsid w:val="00547E9B"/>
    <w:rsid w:val="00550151"/>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12F8"/>
    <w:rsid w:val="0056200F"/>
    <w:rsid w:val="00562276"/>
    <w:rsid w:val="005622DF"/>
    <w:rsid w:val="005639EE"/>
    <w:rsid w:val="0056434D"/>
    <w:rsid w:val="005643BD"/>
    <w:rsid w:val="005649A2"/>
    <w:rsid w:val="00564D6E"/>
    <w:rsid w:val="0056710F"/>
    <w:rsid w:val="0056719E"/>
    <w:rsid w:val="00567D6E"/>
    <w:rsid w:val="00570C83"/>
    <w:rsid w:val="00572583"/>
    <w:rsid w:val="00572A3E"/>
    <w:rsid w:val="00572B21"/>
    <w:rsid w:val="00573146"/>
    <w:rsid w:val="005735E8"/>
    <w:rsid w:val="0057380A"/>
    <w:rsid w:val="00573B1B"/>
    <w:rsid w:val="00573E29"/>
    <w:rsid w:val="00573F24"/>
    <w:rsid w:val="005758CE"/>
    <w:rsid w:val="00575E94"/>
    <w:rsid w:val="005770BC"/>
    <w:rsid w:val="00577BE7"/>
    <w:rsid w:val="00580572"/>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95B"/>
    <w:rsid w:val="00590C9A"/>
    <w:rsid w:val="00591331"/>
    <w:rsid w:val="00591781"/>
    <w:rsid w:val="00591921"/>
    <w:rsid w:val="00591B9C"/>
    <w:rsid w:val="00592A4A"/>
    <w:rsid w:val="005939E5"/>
    <w:rsid w:val="00595652"/>
    <w:rsid w:val="00595B80"/>
    <w:rsid w:val="00596788"/>
    <w:rsid w:val="005968C4"/>
    <w:rsid w:val="00596A82"/>
    <w:rsid w:val="00597605"/>
    <w:rsid w:val="005A05C6"/>
    <w:rsid w:val="005A0753"/>
    <w:rsid w:val="005A0789"/>
    <w:rsid w:val="005A167B"/>
    <w:rsid w:val="005A2229"/>
    <w:rsid w:val="005A2832"/>
    <w:rsid w:val="005A320D"/>
    <w:rsid w:val="005A3468"/>
    <w:rsid w:val="005A35EA"/>
    <w:rsid w:val="005A36E3"/>
    <w:rsid w:val="005A4A64"/>
    <w:rsid w:val="005A50FE"/>
    <w:rsid w:val="005A59CF"/>
    <w:rsid w:val="005A6CB4"/>
    <w:rsid w:val="005A7ECD"/>
    <w:rsid w:val="005A7F72"/>
    <w:rsid w:val="005B097C"/>
    <w:rsid w:val="005B1CC4"/>
    <w:rsid w:val="005B1D3E"/>
    <w:rsid w:val="005B2EB8"/>
    <w:rsid w:val="005B33A1"/>
    <w:rsid w:val="005B4833"/>
    <w:rsid w:val="005B5251"/>
    <w:rsid w:val="005B54FE"/>
    <w:rsid w:val="005B5A55"/>
    <w:rsid w:val="005B5F56"/>
    <w:rsid w:val="005B67F6"/>
    <w:rsid w:val="005B7D8A"/>
    <w:rsid w:val="005C0904"/>
    <w:rsid w:val="005C09BF"/>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2043"/>
    <w:rsid w:val="005D20FC"/>
    <w:rsid w:val="005D2464"/>
    <w:rsid w:val="005D2EE8"/>
    <w:rsid w:val="005D32EE"/>
    <w:rsid w:val="005D38CA"/>
    <w:rsid w:val="005D4722"/>
    <w:rsid w:val="005D4884"/>
    <w:rsid w:val="005D49D1"/>
    <w:rsid w:val="005D5E46"/>
    <w:rsid w:val="005D64A5"/>
    <w:rsid w:val="005D680B"/>
    <w:rsid w:val="005D6B30"/>
    <w:rsid w:val="005D7AA9"/>
    <w:rsid w:val="005E0010"/>
    <w:rsid w:val="005E0EAD"/>
    <w:rsid w:val="005E0EB3"/>
    <w:rsid w:val="005E1F47"/>
    <w:rsid w:val="005E260D"/>
    <w:rsid w:val="005E35FD"/>
    <w:rsid w:val="005E383F"/>
    <w:rsid w:val="005E50A0"/>
    <w:rsid w:val="005E5220"/>
    <w:rsid w:val="005E7698"/>
    <w:rsid w:val="005E77D7"/>
    <w:rsid w:val="005E7CAF"/>
    <w:rsid w:val="005F0931"/>
    <w:rsid w:val="005F0C46"/>
    <w:rsid w:val="005F1FE4"/>
    <w:rsid w:val="005F2AF8"/>
    <w:rsid w:val="005F371A"/>
    <w:rsid w:val="005F3F7F"/>
    <w:rsid w:val="005F4950"/>
    <w:rsid w:val="005F4AC6"/>
    <w:rsid w:val="005F55AA"/>
    <w:rsid w:val="005F55CC"/>
    <w:rsid w:val="005F55E3"/>
    <w:rsid w:val="005F5B30"/>
    <w:rsid w:val="005F5B83"/>
    <w:rsid w:val="005F60C4"/>
    <w:rsid w:val="005F6365"/>
    <w:rsid w:val="005F660A"/>
    <w:rsid w:val="005F6697"/>
    <w:rsid w:val="0060031B"/>
    <w:rsid w:val="006012E3"/>
    <w:rsid w:val="00601FCD"/>
    <w:rsid w:val="00602949"/>
    <w:rsid w:val="00602CFB"/>
    <w:rsid w:val="00602F2F"/>
    <w:rsid w:val="00602FB5"/>
    <w:rsid w:val="0060342E"/>
    <w:rsid w:val="0060384D"/>
    <w:rsid w:val="006039C5"/>
    <w:rsid w:val="0060515F"/>
    <w:rsid w:val="00606C6F"/>
    <w:rsid w:val="00606FA6"/>
    <w:rsid w:val="00607079"/>
    <w:rsid w:val="0060750A"/>
    <w:rsid w:val="00607ADE"/>
    <w:rsid w:val="00611C83"/>
    <w:rsid w:val="00612015"/>
    <w:rsid w:val="006122CF"/>
    <w:rsid w:val="0061286E"/>
    <w:rsid w:val="00612C73"/>
    <w:rsid w:val="006135B2"/>
    <w:rsid w:val="006144BB"/>
    <w:rsid w:val="00614CB4"/>
    <w:rsid w:val="00614EE6"/>
    <w:rsid w:val="006151F5"/>
    <w:rsid w:val="00615BDB"/>
    <w:rsid w:val="00616A04"/>
    <w:rsid w:val="0061717F"/>
    <w:rsid w:val="00617D03"/>
    <w:rsid w:val="00617E9E"/>
    <w:rsid w:val="00620686"/>
    <w:rsid w:val="006209E8"/>
    <w:rsid w:val="00621B11"/>
    <w:rsid w:val="00621C0B"/>
    <w:rsid w:val="00621CAD"/>
    <w:rsid w:val="00622A7E"/>
    <w:rsid w:val="0062317C"/>
    <w:rsid w:val="00623C74"/>
    <w:rsid w:val="0062482E"/>
    <w:rsid w:val="00625213"/>
    <w:rsid w:val="00625B24"/>
    <w:rsid w:val="006265D0"/>
    <w:rsid w:val="00626C25"/>
    <w:rsid w:val="006279A7"/>
    <w:rsid w:val="00627BA3"/>
    <w:rsid w:val="00627E44"/>
    <w:rsid w:val="00630549"/>
    <w:rsid w:val="00630829"/>
    <w:rsid w:val="00631826"/>
    <w:rsid w:val="006326BC"/>
    <w:rsid w:val="006327DF"/>
    <w:rsid w:val="00632A0E"/>
    <w:rsid w:val="00633951"/>
    <w:rsid w:val="00633B5E"/>
    <w:rsid w:val="00633C0A"/>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B8D"/>
    <w:rsid w:val="00661EF2"/>
    <w:rsid w:val="00662166"/>
    <w:rsid w:val="0066272F"/>
    <w:rsid w:val="00662962"/>
    <w:rsid w:val="00662B13"/>
    <w:rsid w:val="006635A1"/>
    <w:rsid w:val="0066397B"/>
    <w:rsid w:val="00663D73"/>
    <w:rsid w:val="00665229"/>
    <w:rsid w:val="006654E8"/>
    <w:rsid w:val="00665598"/>
    <w:rsid w:val="0066566C"/>
    <w:rsid w:val="0066568F"/>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6C9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313"/>
    <w:rsid w:val="006A2347"/>
    <w:rsid w:val="006A24B3"/>
    <w:rsid w:val="006A2A3D"/>
    <w:rsid w:val="006A344C"/>
    <w:rsid w:val="006A40F0"/>
    <w:rsid w:val="006A46C7"/>
    <w:rsid w:val="006A49B5"/>
    <w:rsid w:val="006A5A82"/>
    <w:rsid w:val="006A5BC7"/>
    <w:rsid w:val="006A5C44"/>
    <w:rsid w:val="006A5DE5"/>
    <w:rsid w:val="006A636A"/>
    <w:rsid w:val="006A6B69"/>
    <w:rsid w:val="006A6F85"/>
    <w:rsid w:val="006B008E"/>
    <w:rsid w:val="006B1938"/>
    <w:rsid w:val="006B19B2"/>
    <w:rsid w:val="006B1DA2"/>
    <w:rsid w:val="006B1F5F"/>
    <w:rsid w:val="006B2064"/>
    <w:rsid w:val="006B3AD6"/>
    <w:rsid w:val="006B422E"/>
    <w:rsid w:val="006B4F5B"/>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867"/>
    <w:rsid w:val="006C5C20"/>
    <w:rsid w:val="006C5D1C"/>
    <w:rsid w:val="006C5FF1"/>
    <w:rsid w:val="006C6287"/>
    <w:rsid w:val="006C63C3"/>
    <w:rsid w:val="006C6E92"/>
    <w:rsid w:val="006C7002"/>
    <w:rsid w:val="006C724C"/>
    <w:rsid w:val="006C75C9"/>
    <w:rsid w:val="006C78FA"/>
    <w:rsid w:val="006C7D80"/>
    <w:rsid w:val="006D0448"/>
    <w:rsid w:val="006D0B4F"/>
    <w:rsid w:val="006D1F1A"/>
    <w:rsid w:val="006D21FF"/>
    <w:rsid w:val="006D493C"/>
    <w:rsid w:val="006D5FEE"/>
    <w:rsid w:val="006D5FEF"/>
    <w:rsid w:val="006D64D6"/>
    <w:rsid w:val="006D6A4C"/>
    <w:rsid w:val="006D6FC8"/>
    <w:rsid w:val="006E0240"/>
    <w:rsid w:val="006E0B10"/>
    <w:rsid w:val="006E0B16"/>
    <w:rsid w:val="006E22CC"/>
    <w:rsid w:val="006E3B45"/>
    <w:rsid w:val="006E512D"/>
    <w:rsid w:val="006E53A6"/>
    <w:rsid w:val="006E5C3A"/>
    <w:rsid w:val="006E6FC9"/>
    <w:rsid w:val="006E7093"/>
    <w:rsid w:val="006E7496"/>
    <w:rsid w:val="006E7969"/>
    <w:rsid w:val="006F0B08"/>
    <w:rsid w:val="006F0C12"/>
    <w:rsid w:val="006F0EB1"/>
    <w:rsid w:val="006F1636"/>
    <w:rsid w:val="006F16B4"/>
    <w:rsid w:val="006F2CCB"/>
    <w:rsid w:val="006F2E9D"/>
    <w:rsid w:val="006F314D"/>
    <w:rsid w:val="006F57A2"/>
    <w:rsid w:val="006F59D4"/>
    <w:rsid w:val="006F5CDF"/>
    <w:rsid w:val="006F6BE1"/>
    <w:rsid w:val="006F738F"/>
    <w:rsid w:val="006F7E42"/>
    <w:rsid w:val="0070023A"/>
    <w:rsid w:val="00700EC2"/>
    <w:rsid w:val="00700F47"/>
    <w:rsid w:val="007014E9"/>
    <w:rsid w:val="0070193E"/>
    <w:rsid w:val="00701F6B"/>
    <w:rsid w:val="00701F87"/>
    <w:rsid w:val="007036E5"/>
    <w:rsid w:val="00704124"/>
    <w:rsid w:val="007047A6"/>
    <w:rsid w:val="00704C05"/>
    <w:rsid w:val="007062DD"/>
    <w:rsid w:val="00706D73"/>
    <w:rsid w:val="00706DA9"/>
    <w:rsid w:val="00706E42"/>
    <w:rsid w:val="00707BF4"/>
    <w:rsid w:val="00710815"/>
    <w:rsid w:val="00710994"/>
    <w:rsid w:val="00710D33"/>
    <w:rsid w:val="00710FF5"/>
    <w:rsid w:val="0071129C"/>
    <w:rsid w:val="00711AE4"/>
    <w:rsid w:val="00712D0F"/>
    <w:rsid w:val="0071374D"/>
    <w:rsid w:val="007137DB"/>
    <w:rsid w:val="007146D9"/>
    <w:rsid w:val="00714D12"/>
    <w:rsid w:val="00714D3C"/>
    <w:rsid w:val="0071649C"/>
    <w:rsid w:val="007167B9"/>
    <w:rsid w:val="00717267"/>
    <w:rsid w:val="007178EE"/>
    <w:rsid w:val="00717C8F"/>
    <w:rsid w:val="00717CA5"/>
    <w:rsid w:val="00720484"/>
    <w:rsid w:val="007214AF"/>
    <w:rsid w:val="00721E1D"/>
    <w:rsid w:val="00722752"/>
    <w:rsid w:val="00722CD9"/>
    <w:rsid w:val="00723B7C"/>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497"/>
    <w:rsid w:val="00740A0A"/>
    <w:rsid w:val="00740CED"/>
    <w:rsid w:val="0074108B"/>
    <w:rsid w:val="00741B54"/>
    <w:rsid w:val="007420C9"/>
    <w:rsid w:val="00744055"/>
    <w:rsid w:val="00744F4E"/>
    <w:rsid w:val="0074576E"/>
    <w:rsid w:val="0074602F"/>
    <w:rsid w:val="00746FA0"/>
    <w:rsid w:val="00747446"/>
    <w:rsid w:val="00747915"/>
    <w:rsid w:val="00747F05"/>
    <w:rsid w:val="00750292"/>
    <w:rsid w:val="0075066D"/>
    <w:rsid w:val="00750A08"/>
    <w:rsid w:val="00751651"/>
    <w:rsid w:val="0075179E"/>
    <w:rsid w:val="00751C37"/>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0A8"/>
    <w:rsid w:val="00760D79"/>
    <w:rsid w:val="007619FB"/>
    <w:rsid w:val="00762924"/>
    <w:rsid w:val="00762D30"/>
    <w:rsid w:val="00763339"/>
    <w:rsid w:val="00763355"/>
    <w:rsid w:val="00763522"/>
    <w:rsid w:val="00763FE8"/>
    <w:rsid w:val="00764E1D"/>
    <w:rsid w:val="00765327"/>
    <w:rsid w:val="007661E2"/>
    <w:rsid w:val="00766BFB"/>
    <w:rsid w:val="007678B6"/>
    <w:rsid w:val="007721AD"/>
    <w:rsid w:val="007726FB"/>
    <w:rsid w:val="00772D15"/>
    <w:rsid w:val="00772DC3"/>
    <w:rsid w:val="00773141"/>
    <w:rsid w:val="00773D67"/>
    <w:rsid w:val="00774BC1"/>
    <w:rsid w:val="00774E6B"/>
    <w:rsid w:val="00775F11"/>
    <w:rsid w:val="007768F2"/>
    <w:rsid w:val="00776E9E"/>
    <w:rsid w:val="00777126"/>
    <w:rsid w:val="007773CD"/>
    <w:rsid w:val="00777C3F"/>
    <w:rsid w:val="00777EE9"/>
    <w:rsid w:val="00780732"/>
    <w:rsid w:val="0078146E"/>
    <w:rsid w:val="0078165E"/>
    <w:rsid w:val="00781B9A"/>
    <w:rsid w:val="0078243D"/>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B63"/>
    <w:rsid w:val="007A1BE6"/>
    <w:rsid w:val="007A2BFF"/>
    <w:rsid w:val="007A33C1"/>
    <w:rsid w:val="007A33FF"/>
    <w:rsid w:val="007A4C0C"/>
    <w:rsid w:val="007A5493"/>
    <w:rsid w:val="007A5A5A"/>
    <w:rsid w:val="007A5BC2"/>
    <w:rsid w:val="007A618D"/>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2102"/>
    <w:rsid w:val="007C508D"/>
    <w:rsid w:val="007C52ED"/>
    <w:rsid w:val="007C53A1"/>
    <w:rsid w:val="007C5DB6"/>
    <w:rsid w:val="007C64BC"/>
    <w:rsid w:val="007C6714"/>
    <w:rsid w:val="007C675F"/>
    <w:rsid w:val="007C6835"/>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BF0"/>
    <w:rsid w:val="007E1C10"/>
    <w:rsid w:val="007E1CB1"/>
    <w:rsid w:val="007E201B"/>
    <w:rsid w:val="007E218F"/>
    <w:rsid w:val="007E276E"/>
    <w:rsid w:val="007E2B64"/>
    <w:rsid w:val="007E3051"/>
    <w:rsid w:val="007E4238"/>
    <w:rsid w:val="007E4E4F"/>
    <w:rsid w:val="007E6477"/>
    <w:rsid w:val="007E686B"/>
    <w:rsid w:val="007E6D46"/>
    <w:rsid w:val="007E6DA8"/>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BBF"/>
    <w:rsid w:val="00801F82"/>
    <w:rsid w:val="00802AC5"/>
    <w:rsid w:val="00803016"/>
    <w:rsid w:val="00804867"/>
    <w:rsid w:val="00804B2F"/>
    <w:rsid w:val="00805DA9"/>
    <w:rsid w:val="008064A1"/>
    <w:rsid w:val="008064F4"/>
    <w:rsid w:val="00806A9F"/>
    <w:rsid w:val="00806B9C"/>
    <w:rsid w:val="00807316"/>
    <w:rsid w:val="0080770D"/>
    <w:rsid w:val="00807D28"/>
    <w:rsid w:val="00807D5E"/>
    <w:rsid w:val="0081012C"/>
    <w:rsid w:val="008102B3"/>
    <w:rsid w:val="00810847"/>
    <w:rsid w:val="00811036"/>
    <w:rsid w:val="00811DF9"/>
    <w:rsid w:val="008122CD"/>
    <w:rsid w:val="008123D5"/>
    <w:rsid w:val="008127B0"/>
    <w:rsid w:val="008142C7"/>
    <w:rsid w:val="0081433F"/>
    <w:rsid w:val="00814B5E"/>
    <w:rsid w:val="00814B7D"/>
    <w:rsid w:val="00814C44"/>
    <w:rsid w:val="00814F19"/>
    <w:rsid w:val="00815706"/>
    <w:rsid w:val="00815A88"/>
    <w:rsid w:val="008162DE"/>
    <w:rsid w:val="00817025"/>
    <w:rsid w:val="00820759"/>
    <w:rsid w:val="0082081A"/>
    <w:rsid w:val="00820B06"/>
    <w:rsid w:val="00820E25"/>
    <w:rsid w:val="00821167"/>
    <w:rsid w:val="00821737"/>
    <w:rsid w:val="00821B0B"/>
    <w:rsid w:val="00821D40"/>
    <w:rsid w:val="008237B2"/>
    <w:rsid w:val="00827A8A"/>
    <w:rsid w:val="00830D11"/>
    <w:rsid w:val="008314F0"/>
    <w:rsid w:val="008319D3"/>
    <w:rsid w:val="00832C18"/>
    <w:rsid w:val="0083388D"/>
    <w:rsid w:val="0083411C"/>
    <w:rsid w:val="008343CB"/>
    <w:rsid w:val="00834512"/>
    <w:rsid w:val="00834F81"/>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172A"/>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119E"/>
    <w:rsid w:val="008614CF"/>
    <w:rsid w:val="00861B0E"/>
    <w:rsid w:val="00861B16"/>
    <w:rsid w:val="00861B41"/>
    <w:rsid w:val="00861DA1"/>
    <w:rsid w:val="00862173"/>
    <w:rsid w:val="008621F7"/>
    <w:rsid w:val="008626B0"/>
    <w:rsid w:val="00864A2A"/>
    <w:rsid w:val="00865DE1"/>
    <w:rsid w:val="0086711C"/>
    <w:rsid w:val="00870793"/>
    <w:rsid w:val="00871EED"/>
    <w:rsid w:val="008734E7"/>
    <w:rsid w:val="0087404E"/>
    <w:rsid w:val="008744DD"/>
    <w:rsid w:val="00874C48"/>
    <w:rsid w:val="0087504C"/>
    <w:rsid w:val="008751A1"/>
    <w:rsid w:val="00875394"/>
    <w:rsid w:val="00875905"/>
    <w:rsid w:val="00876B38"/>
    <w:rsid w:val="00876C1A"/>
    <w:rsid w:val="00877149"/>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C19"/>
    <w:rsid w:val="00890E3A"/>
    <w:rsid w:val="00891046"/>
    <w:rsid w:val="008914A6"/>
    <w:rsid w:val="00891DD0"/>
    <w:rsid w:val="008922DF"/>
    <w:rsid w:val="0089290E"/>
    <w:rsid w:val="00892C2E"/>
    <w:rsid w:val="0089357C"/>
    <w:rsid w:val="008949CC"/>
    <w:rsid w:val="0089549F"/>
    <w:rsid w:val="008958EF"/>
    <w:rsid w:val="008959F1"/>
    <w:rsid w:val="00895F27"/>
    <w:rsid w:val="008970B5"/>
    <w:rsid w:val="008971D9"/>
    <w:rsid w:val="008A0473"/>
    <w:rsid w:val="008A16AE"/>
    <w:rsid w:val="008A24BD"/>
    <w:rsid w:val="008A2593"/>
    <w:rsid w:val="008A2B4D"/>
    <w:rsid w:val="008A36ED"/>
    <w:rsid w:val="008A422F"/>
    <w:rsid w:val="008A42D8"/>
    <w:rsid w:val="008A45B1"/>
    <w:rsid w:val="008A59E9"/>
    <w:rsid w:val="008A668F"/>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441"/>
    <w:rsid w:val="008C0743"/>
    <w:rsid w:val="008C084B"/>
    <w:rsid w:val="008C0DB5"/>
    <w:rsid w:val="008C1581"/>
    <w:rsid w:val="008C17CD"/>
    <w:rsid w:val="008C2453"/>
    <w:rsid w:val="008C2920"/>
    <w:rsid w:val="008C32F7"/>
    <w:rsid w:val="008C436D"/>
    <w:rsid w:val="008C4853"/>
    <w:rsid w:val="008C48F2"/>
    <w:rsid w:val="008C49EF"/>
    <w:rsid w:val="008C5040"/>
    <w:rsid w:val="008C5BE7"/>
    <w:rsid w:val="008C74CC"/>
    <w:rsid w:val="008C7C3C"/>
    <w:rsid w:val="008C7F77"/>
    <w:rsid w:val="008D13DC"/>
    <w:rsid w:val="008D1E23"/>
    <w:rsid w:val="008D2461"/>
    <w:rsid w:val="008D2C0B"/>
    <w:rsid w:val="008D34B7"/>
    <w:rsid w:val="008D4025"/>
    <w:rsid w:val="008D479A"/>
    <w:rsid w:val="008D4EA1"/>
    <w:rsid w:val="008D538D"/>
    <w:rsid w:val="008D5E0F"/>
    <w:rsid w:val="008D5FCD"/>
    <w:rsid w:val="008D6C6B"/>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867"/>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41"/>
    <w:rsid w:val="009056A9"/>
    <w:rsid w:val="009067B8"/>
    <w:rsid w:val="00906975"/>
    <w:rsid w:val="00906EED"/>
    <w:rsid w:val="009070C2"/>
    <w:rsid w:val="0090715C"/>
    <w:rsid w:val="009074D6"/>
    <w:rsid w:val="00907955"/>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2F27"/>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53FF"/>
    <w:rsid w:val="00935B7C"/>
    <w:rsid w:val="009365EB"/>
    <w:rsid w:val="00936F26"/>
    <w:rsid w:val="0094086F"/>
    <w:rsid w:val="00940B68"/>
    <w:rsid w:val="00940DF4"/>
    <w:rsid w:val="00941A1C"/>
    <w:rsid w:val="00942CAE"/>
    <w:rsid w:val="00943048"/>
    <w:rsid w:val="0094335F"/>
    <w:rsid w:val="00943704"/>
    <w:rsid w:val="00944202"/>
    <w:rsid w:val="00944A81"/>
    <w:rsid w:val="00944F9F"/>
    <w:rsid w:val="00945781"/>
    <w:rsid w:val="009459ED"/>
    <w:rsid w:val="00945DFF"/>
    <w:rsid w:val="00945E49"/>
    <w:rsid w:val="00945E7C"/>
    <w:rsid w:val="009462D8"/>
    <w:rsid w:val="00946388"/>
    <w:rsid w:val="009470FD"/>
    <w:rsid w:val="00947C1A"/>
    <w:rsid w:val="0095014D"/>
    <w:rsid w:val="00950267"/>
    <w:rsid w:val="009515E0"/>
    <w:rsid w:val="00951995"/>
    <w:rsid w:val="00951B63"/>
    <w:rsid w:val="00951C7E"/>
    <w:rsid w:val="00951CF6"/>
    <w:rsid w:val="009520A6"/>
    <w:rsid w:val="009536DA"/>
    <w:rsid w:val="009537A7"/>
    <w:rsid w:val="009548C3"/>
    <w:rsid w:val="0095506D"/>
    <w:rsid w:val="0095535D"/>
    <w:rsid w:val="009555E2"/>
    <w:rsid w:val="00955A31"/>
    <w:rsid w:val="009567AF"/>
    <w:rsid w:val="0095685B"/>
    <w:rsid w:val="009572CB"/>
    <w:rsid w:val="00957679"/>
    <w:rsid w:val="009576C5"/>
    <w:rsid w:val="00957C19"/>
    <w:rsid w:val="00957D9C"/>
    <w:rsid w:val="00960DC9"/>
    <w:rsid w:val="00960F93"/>
    <w:rsid w:val="009612F1"/>
    <w:rsid w:val="00961B8B"/>
    <w:rsid w:val="00961BF6"/>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C42"/>
    <w:rsid w:val="00971EC5"/>
    <w:rsid w:val="00971FCC"/>
    <w:rsid w:val="00971FE2"/>
    <w:rsid w:val="009728FB"/>
    <w:rsid w:val="0097298A"/>
    <w:rsid w:val="0097373B"/>
    <w:rsid w:val="00973BAF"/>
    <w:rsid w:val="00974182"/>
    <w:rsid w:val="00975236"/>
    <w:rsid w:val="0097579F"/>
    <w:rsid w:val="00975CBD"/>
    <w:rsid w:val="0097672C"/>
    <w:rsid w:val="009769BA"/>
    <w:rsid w:val="009773CE"/>
    <w:rsid w:val="0097780F"/>
    <w:rsid w:val="009778AB"/>
    <w:rsid w:val="00981CB6"/>
    <w:rsid w:val="00982AB4"/>
    <w:rsid w:val="00983061"/>
    <w:rsid w:val="0098312F"/>
    <w:rsid w:val="00983223"/>
    <w:rsid w:val="00984206"/>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354"/>
    <w:rsid w:val="00996A8B"/>
    <w:rsid w:val="009A013B"/>
    <w:rsid w:val="009A0212"/>
    <w:rsid w:val="009A031F"/>
    <w:rsid w:val="009A0E12"/>
    <w:rsid w:val="009A10D5"/>
    <w:rsid w:val="009A119C"/>
    <w:rsid w:val="009A2261"/>
    <w:rsid w:val="009A253A"/>
    <w:rsid w:val="009A2968"/>
    <w:rsid w:val="009A3DBF"/>
    <w:rsid w:val="009A43FF"/>
    <w:rsid w:val="009A637B"/>
    <w:rsid w:val="009A67CD"/>
    <w:rsid w:val="009A788B"/>
    <w:rsid w:val="009A7E1C"/>
    <w:rsid w:val="009B003C"/>
    <w:rsid w:val="009B0DFC"/>
    <w:rsid w:val="009B2465"/>
    <w:rsid w:val="009B285A"/>
    <w:rsid w:val="009B300F"/>
    <w:rsid w:val="009B3745"/>
    <w:rsid w:val="009B3BC3"/>
    <w:rsid w:val="009B46E0"/>
    <w:rsid w:val="009B521B"/>
    <w:rsid w:val="009B5DD5"/>
    <w:rsid w:val="009B6970"/>
    <w:rsid w:val="009B74E2"/>
    <w:rsid w:val="009C00EF"/>
    <w:rsid w:val="009C064F"/>
    <w:rsid w:val="009C1566"/>
    <w:rsid w:val="009C245B"/>
    <w:rsid w:val="009C281C"/>
    <w:rsid w:val="009C3440"/>
    <w:rsid w:val="009C4E6E"/>
    <w:rsid w:val="009C520B"/>
    <w:rsid w:val="009C5874"/>
    <w:rsid w:val="009C6768"/>
    <w:rsid w:val="009C6894"/>
    <w:rsid w:val="009C6B3B"/>
    <w:rsid w:val="009C6B7B"/>
    <w:rsid w:val="009C6DA9"/>
    <w:rsid w:val="009D22EA"/>
    <w:rsid w:val="009D2A1A"/>
    <w:rsid w:val="009D2C4C"/>
    <w:rsid w:val="009D2C71"/>
    <w:rsid w:val="009D341F"/>
    <w:rsid w:val="009D3508"/>
    <w:rsid w:val="009D3879"/>
    <w:rsid w:val="009D4303"/>
    <w:rsid w:val="009D4A8E"/>
    <w:rsid w:val="009D50E8"/>
    <w:rsid w:val="009D5637"/>
    <w:rsid w:val="009D57D5"/>
    <w:rsid w:val="009D5D05"/>
    <w:rsid w:val="009D62E7"/>
    <w:rsid w:val="009D64A4"/>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928"/>
    <w:rsid w:val="009E732A"/>
    <w:rsid w:val="009E73D9"/>
    <w:rsid w:val="009F0BCF"/>
    <w:rsid w:val="009F0CD1"/>
    <w:rsid w:val="009F115A"/>
    <w:rsid w:val="009F15B3"/>
    <w:rsid w:val="009F187B"/>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3B0"/>
    <w:rsid w:val="00A21AAA"/>
    <w:rsid w:val="00A21FEA"/>
    <w:rsid w:val="00A23DD3"/>
    <w:rsid w:val="00A2470A"/>
    <w:rsid w:val="00A2481C"/>
    <w:rsid w:val="00A2627F"/>
    <w:rsid w:val="00A26883"/>
    <w:rsid w:val="00A30BAE"/>
    <w:rsid w:val="00A30C48"/>
    <w:rsid w:val="00A30D43"/>
    <w:rsid w:val="00A314A9"/>
    <w:rsid w:val="00A31591"/>
    <w:rsid w:val="00A31927"/>
    <w:rsid w:val="00A31BB3"/>
    <w:rsid w:val="00A321EE"/>
    <w:rsid w:val="00A324A3"/>
    <w:rsid w:val="00A325C2"/>
    <w:rsid w:val="00A32C37"/>
    <w:rsid w:val="00A3368E"/>
    <w:rsid w:val="00A348AD"/>
    <w:rsid w:val="00A34AB8"/>
    <w:rsid w:val="00A3533F"/>
    <w:rsid w:val="00A3673E"/>
    <w:rsid w:val="00A37165"/>
    <w:rsid w:val="00A374BD"/>
    <w:rsid w:val="00A402CC"/>
    <w:rsid w:val="00A42777"/>
    <w:rsid w:val="00A4329C"/>
    <w:rsid w:val="00A4339C"/>
    <w:rsid w:val="00A436C2"/>
    <w:rsid w:val="00A449D2"/>
    <w:rsid w:val="00A44E28"/>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71"/>
    <w:rsid w:val="00A56BEC"/>
    <w:rsid w:val="00A56C2C"/>
    <w:rsid w:val="00A6099F"/>
    <w:rsid w:val="00A60ED7"/>
    <w:rsid w:val="00A61828"/>
    <w:rsid w:val="00A61E26"/>
    <w:rsid w:val="00A622E2"/>
    <w:rsid w:val="00A62B97"/>
    <w:rsid w:val="00A630C0"/>
    <w:rsid w:val="00A63872"/>
    <w:rsid w:val="00A63A37"/>
    <w:rsid w:val="00A648F2"/>
    <w:rsid w:val="00A65C98"/>
    <w:rsid w:val="00A6630B"/>
    <w:rsid w:val="00A67A2E"/>
    <w:rsid w:val="00A67A8E"/>
    <w:rsid w:val="00A67DED"/>
    <w:rsid w:val="00A70A35"/>
    <w:rsid w:val="00A71292"/>
    <w:rsid w:val="00A7141F"/>
    <w:rsid w:val="00A71536"/>
    <w:rsid w:val="00A71E99"/>
    <w:rsid w:val="00A72291"/>
    <w:rsid w:val="00A7337F"/>
    <w:rsid w:val="00A7469D"/>
    <w:rsid w:val="00A74E04"/>
    <w:rsid w:val="00A74F6C"/>
    <w:rsid w:val="00A750D3"/>
    <w:rsid w:val="00A75212"/>
    <w:rsid w:val="00A760AD"/>
    <w:rsid w:val="00A7634B"/>
    <w:rsid w:val="00A7647C"/>
    <w:rsid w:val="00A76A52"/>
    <w:rsid w:val="00A76BA5"/>
    <w:rsid w:val="00A7735F"/>
    <w:rsid w:val="00A80709"/>
    <w:rsid w:val="00A817F3"/>
    <w:rsid w:val="00A81DCD"/>
    <w:rsid w:val="00A8221B"/>
    <w:rsid w:val="00A82D80"/>
    <w:rsid w:val="00A83430"/>
    <w:rsid w:val="00A8389D"/>
    <w:rsid w:val="00A83BF1"/>
    <w:rsid w:val="00A84298"/>
    <w:rsid w:val="00A842D6"/>
    <w:rsid w:val="00A844C6"/>
    <w:rsid w:val="00A8523D"/>
    <w:rsid w:val="00A853A6"/>
    <w:rsid w:val="00A905F1"/>
    <w:rsid w:val="00A90E27"/>
    <w:rsid w:val="00A911C3"/>
    <w:rsid w:val="00A91218"/>
    <w:rsid w:val="00A913B4"/>
    <w:rsid w:val="00A92A8E"/>
    <w:rsid w:val="00A92BA5"/>
    <w:rsid w:val="00A934FE"/>
    <w:rsid w:val="00A94B41"/>
    <w:rsid w:val="00A95933"/>
    <w:rsid w:val="00A959DF"/>
    <w:rsid w:val="00A96D7E"/>
    <w:rsid w:val="00A97060"/>
    <w:rsid w:val="00A97B8C"/>
    <w:rsid w:val="00A97BCD"/>
    <w:rsid w:val="00A97EB5"/>
    <w:rsid w:val="00AA0C88"/>
    <w:rsid w:val="00AA158B"/>
    <w:rsid w:val="00AA1D12"/>
    <w:rsid w:val="00AA216B"/>
    <w:rsid w:val="00AA2241"/>
    <w:rsid w:val="00AA2CD8"/>
    <w:rsid w:val="00AA30A2"/>
    <w:rsid w:val="00AA35D2"/>
    <w:rsid w:val="00AA37AC"/>
    <w:rsid w:val="00AA398E"/>
    <w:rsid w:val="00AA49B7"/>
    <w:rsid w:val="00AA61DD"/>
    <w:rsid w:val="00AA630A"/>
    <w:rsid w:val="00AA69EF"/>
    <w:rsid w:val="00AA6F9A"/>
    <w:rsid w:val="00AA7159"/>
    <w:rsid w:val="00AA7A0E"/>
    <w:rsid w:val="00AB02C8"/>
    <w:rsid w:val="00AB0C7A"/>
    <w:rsid w:val="00AB102D"/>
    <w:rsid w:val="00AB1A33"/>
    <w:rsid w:val="00AB2224"/>
    <w:rsid w:val="00AB2857"/>
    <w:rsid w:val="00AB2AB9"/>
    <w:rsid w:val="00AB3299"/>
    <w:rsid w:val="00AB3E16"/>
    <w:rsid w:val="00AB3F97"/>
    <w:rsid w:val="00AB5000"/>
    <w:rsid w:val="00AB53BA"/>
    <w:rsid w:val="00AB55A8"/>
    <w:rsid w:val="00AB5702"/>
    <w:rsid w:val="00AB583A"/>
    <w:rsid w:val="00AB657E"/>
    <w:rsid w:val="00AB6872"/>
    <w:rsid w:val="00AB7192"/>
    <w:rsid w:val="00AB76D5"/>
    <w:rsid w:val="00AB78AC"/>
    <w:rsid w:val="00AC0F0B"/>
    <w:rsid w:val="00AC2671"/>
    <w:rsid w:val="00AC27BD"/>
    <w:rsid w:val="00AC2D25"/>
    <w:rsid w:val="00AC2E78"/>
    <w:rsid w:val="00AC33F9"/>
    <w:rsid w:val="00AC3431"/>
    <w:rsid w:val="00AC34AE"/>
    <w:rsid w:val="00AC3727"/>
    <w:rsid w:val="00AC4379"/>
    <w:rsid w:val="00AC4D53"/>
    <w:rsid w:val="00AC4E7D"/>
    <w:rsid w:val="00AC55D6"/>
    <w:rsid w:val="00AC6071"/>
    <w:rsid w:val="00AC62C7"/>
    <w:rsid w:val="00AC63F4"/>
    <w:rsid w:val="00AC7483"/>
    <w:rsid w:val="00AC755E"/>
    <w:rsid w:val="00AC7BC4"/>
    <w:rsid w:val="00AD067C"/>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4A7"/>
    <w:rsid w:val="00AE7FA8"/>
    <w:rsid w:val="00AF0A8F"/>
    <w:rsid w:val="00AF11A9"/>
    <w:rsid w:val="00AF1A07"/>
    <w:rsid w:val="00AF1CCB"/>
    <w:rsid w:val="00AF217E"/>
    <w:rsid w:val="00AF2BDA"/>
    <w:rsid w:val="00AF2DE9"/>
    <w:rsid w:val="00AF3C8C"/>
    <w:rsid w:val="00AF457C"/>
    <w:rsid w:val="00AF461C"/>
    <w:rsid w:val="00AF5363"/>
    <w:rsid w:val="00AF5494"/>
    <w:rsid w:val="00AF5CB8"/>
    <w:rsid w:val="00AF5F78"/>
    <w:rsid w:val="00AF66F1"/>
    <w:rsid w:val="00AF7EA9"/>
    <w:rsid w:val="00B00306"/>
    <w:rsid w:val="00B00A5B"/>
    <w:rsid w:val="00B010D3"/>
    <w:rsid w:val="00B01CC2"/>
    <w:rsid w:val="00B01F0D"/>
    <w:rsid w:val="00B0238F"/>
    <w:rsid w:val="00B02A4C"/>
    <w:rsid w:val="00B0312E"/>
    <w:rsid w:val="00B03D26"/>
    <w:rsid w:val="00B03E14"/>
    <w:rsid w:val="00B04047"/>
    <w:rsid w:val="00B04D36"/>
    <w:rsid w:val="00B04F11"/>
    <w:rsid w:val="00B05155"/>
    <w:rsid w:val="00B05688"/>
    <w:rsid w:val="00B05A41"/>
    <w:rsid w:val="00B06241"/>
    <w:rsid w:val="00B07988"/>
    <w:rsid w:val="00B07EDA"/>
    <w:rsid w:val="00B11AC8"/>
    <w:rsid w:val="00B11C22"/>
    <w:rsid w:val="00B11E9A"/>
    <w:rsid w:val="00B13818"/>
    <w:rsid w:val="00B13C59"/>
    <w:rsid w:val="00B14DDF"/>
    <w:rsid w:val="00B14E6C"/>
    <w:rsid w:val="00B151C6"/>
    <w:rsid w:val="00B15CC4"/>
    <w:rsid w:val="00B17793"/>
    <w:rsid w:val="00B17D79"/>
    <w:rsid w:val="00B17F5F"/>
    <w:rsid w:val="00B20057"/>
    <w:rsid w:val="00B208A5"/>
    <w:rsid w:val="00B209B5"/>
    <w:rsid w:val="00B20E2B"/>
    <w:rsid w:val="00B21CA7"/>
    <w:rsid w:val="00B22651"/>
    <w:rsid w:val="00B22CE2"/>
    <w:rsid w:val="00B23216"/>
    <w:rsid w:val="00B23960"/>
    <w:rsid w:val="00B24165"/>
    <w:rsid w:val="00B2484E"/>
    <w:rsid w:val="00B24C37"/>
    <w:rsid w:val="00B24F49"/>
    <w:rsid w:val="00B255A7"/>
    <w:rsid w:val="00B25A70"/>
    <w:rsid w:val="00B25F9A"/>
    <w:rsid w:val="00B263DD"/>
    <w:rsid w:val="00B27080"/>
    <w:rsid w:val="00B272D3"/>
    <w:rsid w:val="00B31F85"/>
    <w:rsid w:val="00B32D9A"/>
    <w:rsid w:val="00B33105"/>
    <w:rsid w:val="00B332F0"/>
    <w:rsid w:val="00B336EB"/>
    <w:rsid w:val="00B3396B"/>
    <w:rsid w:val="00B33C09"/>
    <w:rsid w:val="00B34CA0"/>
    <w:rsid w:val="00B35846"/>
    <w:rsid w:val="00B35E23"/>
    <w:rsid w:val="00B364F3"/>
    <w:rsid w:val="00B36993"/>
    <w:rsid w:val="00B40294"/>
    <w:rsid w:val="00B40D73"/>
    <w:rsid w:val="00B411BF"/>
    <w:rsid w:val="00B426FE"/>
    <w:rsid w:val="00B4299D"/>
    <w:rsid w:val="00B430D3"/>
    <w:rsid w:val="00B43215"/>
    <w:rsid w:val="00B433B2"/>
    <w:rsid w:val="00B437BD"/>
    <w:rsid w:val="00B439FA"/>
    <w:rsid w:val="00B43A55"/>
    <w:rsid w:val="00B43F99"/>
    <w:rsid w:val="00B4485B"/>
    <w:rsid w:val="00B448C2"/>
    <w:rsid w:val="00B46FB7"/>
    <w:rsid w:val="00B477AA"/>
    <w:rsid w:val="00B4783F"/>
    <w:rsid w:val="00B47CEF"/>
    <w:rsid w:val="00B50D90"/>
    <w:rsid w:val="00B50DBE"/>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7D22"/>
    <w:rsid w:val="00B70068"/>
    <w:rsid w:val="00B701B4"/>
    <w:rsid w:val="00B7049B"/>
    <w:rsid w:val="00B70EDB"/>
    <w:rsid w:val="00B71A5D"/>
    <w:rsid w:val="00B71F17"/>
    <w:rsid w:val="00B72444"/>
    <w:rsid w:val="00B737C7"/>
    <w:rsid w:val="00B74A0D"/>
    <w:rsid w:val="00B74FBD"/>
    <w:rsid w:val="00B75667"/>
    <w:rsid w:val="00B75780"/>
    <w:rsid w:val="00B76A7A"/>
    <w:rsid w:val="00B77B01"/>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CF0"/>
    <w:rsid w:val="00B972EA"/>
    <w:rsid w:val="00B977E6"/>
    <w:rsid w:val="00BA0841"/>
    <w:rsid w:val="00BA0FFB"/>
    <w:rsid w:val="00BA1903"/>
    <w:rsid w:val="00BA1E65"/>
    <w:rsid w:val="00BA2642"/>
    <w:rsid w:val="00BA2729"/>
    <w:rsid w:val="00BA283C"/>
    <w:rsid w:val="00BA2AEB"/>
    <w:rsid w:val="00BA2BCA"/>
    <w:rsid w:val="00BA3A4C"/>
    <w:rsid w:val="00BA3B3B"/>
    <w:rsid w:val="00BA40BE"/>
    <w:rsid w:val="00BA44AB"/>
    <w:rsid w:val="00BA48E0"/>
    <w:rsid w:val="00BA5EFB"/>
    <w:rsid w:val="00BA659A"/>
    <w:rsid w:val="00BA68C1"/>
    <w:rsid w:val="00BA6E74"/>
    <w:rsid w:val="00BA715B"/>
    <w:rsid w:val="00BA79BC"/>
    <w:rsid w:val="00BA7EB0"/>
    <w:rsid w:val="00BB022B"/>
    <w:rsid w:val="00BB0528"/>
    <w:rsid w:val="00BB07FA"/>
    <w:rsid w:val="00BB1D67"/>
    <w:rsid w:val="00BB214E"/>
    <w:rsid w:val="00BB23BD"/>
    <w:rsid w:val="00BB301E"/>
    <w:rsid w:val="00BB3F4C"/>
    <w:rsid w:val="00BB5260"/>
    <w:rsid w:val="00BB5FEA"/>
    <w:rsid w:val="00BB724B"/>
    <w:rsid w:val="00BB72E6"/>
    <w:rsid w:val="00BB797E"/>
    <w:rsid w:val="00BB7BA0"/>
    <w:rsid w:val="00BC06F8"/>
    <w:rsid w:val="00BC0F2D"/>
    <w:rsid w:val="00BC10AB"/>
    <w:rsid w:val="00BC143A"/>
    <w:rsid w:val="00BC16BF"/>
    <w:rsid w:val="00BC1BFD"/>
    <w:rsid w:val="00BC201A"/>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A3C"/>
    <w:rsid w:val="00BD3C69"/>
    <w:rsid w:val="00BD3D7A"/>
    <w:rsid w:val="00BD435C"/>
    <w:rsid w:val="00BD471D"/>
    <w:rsid w:val="00BD567C"/>
    <w:rsid w:val="00BD5A65"/>
    <w:rsid w:val="00BD689C"/>
    <w:rsid w:val="00BD68BE"/>
    <w:rsid w:val="00BD7F9E"/>
    <w:rsid w:val="00BE09DC"/>
    <w:rsid w:val="00BE0D74"/>
    <w:rsid w:val="00BE1378"/>
    <w:rsid w:val="00BE1A06"/>
    <w:rsid w:val="00BE20F7"/>
    <w:rsid w:val="00BE2BB7"/>
    <w:rsid w:val="00BE40F3"/>
    <w:rsid w:val="00BE65B3"/>
    <w:rsid w:val="00BE69FE"/>
    <w:rsid w:val="00BE742D"/>
    <w:rsid w:val="00BF0ACA"/>
    <w:rsid w:val="00BF0FD5"/>
    <w:rsid w:val="00BF10D2"/>
    <w:rsid w:val="00BF116C"/>
    <w:rsid w:val="00BF120B"/>
    <w:rsid w:val="00BF19D1"/>
    <w:rsid w:val="00BF22EE"/>
    <w:rsid w:val="00BF2AF0"/>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4FE4"/>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E62"/>
    <w:rsid w:val="00C300D9"/>
    <w:rsid w:val="00C30406"/>
    <w:rsid w:val="00C30D3F"/>
    <w:rsid w:val="00C30DAA"/>
    <w:rsid w:val="00C30F1F"/>
    <w:rsid w:val="00C31089"/>
    <w:rsid w:val="00C319A2"/>
    <w:rsid w:val="00C32075"/>
    <w:rsid w:val="00C3208A"/>
    <w:rsid w:val="00C337F3"/>
    <w:rsid w:val="00C33B98"/>
    <w:rsid w:val="00C33FF0"/>
    <w:rsid w:val="00C34751"/>
    <w:rsid w:val="00C34C05"/>
    <w:rsid w:val="00C351AC"/>
    <w:rsid w:val="00C3566B"/>
    <w:rsid w:val="00C35B23"/>
    <w:rsid w:val="00C36064"/>
    <w:rsid w:val="00C36BFA"/>
    <w:rsid w:val="00C37050"/>
    <w:rsid w:val="00C37D75"/>
    <w:rsid w:val="00C4018E"/>
    <w:rsid w:val="00C40FA9"/>
    <w:rsid w:val="00C41332"/>
    <w:rsid w:val="00C419A3"/>
    <w:rsid w:val="00C41B56"/>
    <w:rsid w:val="00C41D2B"/>
    <w:rsid w:val="00C444D9"/>
    <w:rsid w:val="00C44500"/>
    <w:rsid w:val="00C447FB"/>
    <w:rsid w:val="00C460CA"/>
    <w:rsid w:val="00C46896"/>
    <w:rsid w:val="00C479D8"/>
    <w:rsid w:val="00C47AE8"/>
    <w:rsid w:val="00C47B1C"/>
    <w:rsid w:val="00C50066"/>
    <w:rsid w:val="00C5017F"/>
    <w:rsid w:val="00C51B51"/>
    <w:rsid w:val="00C51F1A"/>
    <w:rsid w:val="00C522F8"/>
    <w:rsid w:val="00C5257E"/>
    <w:rsid w:val="00C52BD9"/>
    <w:rsid w:val="00C52FE0"/>
    <w:rsid w:val="00C5337B"/>
    <w:rsid w:val="00C544CA"/>
    <w:rsid w:val="00C54C62"/>
    <w:rsid w:val="00C55231"/>
    <w:rsid w:val="00C563DF"/>
    <w:rsid w:val="00C57750"/>
    <w:rsid w:val="00C57CC6"/>
    <w:rsid w:val="00C604D8"/>
    <w:rsid w:val="00C60EC1"/>
    <w:rsid w:val="00C61F3D"/>
    <w:rsid w:val="00C620E3"/>
    <w:rsid w:val="00C62997"/>
    <w:rsid w:val="00C62B6B"/>
    <w:rsid w:val="00C62DEF"/>
    <w:rsid w:val="00C62F42"/>
    <w:rsid w:val="00C633AB"/>
    <w:rsid w:val="00C64849"/>
    <w:rsid w:val="00C65F58"/>
    <w:rsid w:val="00C66571"/>
    <w:rsid w:val="00C667F6"/>
    <w:rsid w:val="00C66941"/>
    <w:rsid w:val="00C66B7F"/>
    <w:rsid w:val="00C66C4B"/>
    <w:rsid w:val="00C67420"/>
    <w:rsid w:val="00C679BA"/>
    <w:rsid w:val="00C70551"/>
    <w:rsid w:val="00C71CB1"/>
    <w:rsid w:val="00C7296E"/>
    <w:rsid w:val="00C72AD3"/>
    <w:rsid w:val="00C73242"/>
    <w:rsid w:val="00C7357D"/>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650D"/>
    <w:rsid w:val="00C8781D"/>
    <w:rsid w:val="00C87C97"/>
    <w:rsid w:val="00C87CCD"/>
    <w:rsid w:val="00C905AC"/>
    <w:rsid w:val="00C90B13"/>
    <w:rsid w:val="00C90F7A"/>
    <w:rsid w:val="00C91B3B"/>
    <w:rsid w:val="00C91CFB"/>
    <w:rsid w:val="00C91FAC"/>
    <w:rsid w:val="00C922C5"/>
    <w:rsid w:val="00C93297"/>
    <w:rsid w:val="00C93600"/>
    <w:rsid w:val="00C93DE2"/>
    <w:rsid w:val="00C941C4"/>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FAB"/>
    <w:rsid w:val="00CC11B5"/>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121B"/>
    <w:rsid w:val="00CD1DD3"/>
    <w:rsid w:val="00CD264D"/>
    <w:rsid w:val="00CD305F"/>
    <w:rsid w:val="00CD309B"/>
    <w:rsid w:val="00CD3122"/>
    <w:rsid w:val="00CD31C9"/>
    <w:rsid w:val="00CD3F09"/>
    <w:rsid w:val="00CD4436"/>
    <w:rsid w:val="00CD492B"/>
    <w:rsid w:val="00CD5C78"/>
    <w:rsid w:val="00CD5DEF"/>
    <w:rsid w:val="00CD6CDA"/>
    <w:rsid w:val="00CD7152"/>
    <w:rsid w:val="00CD7F7D"/>
    <w:rsid w:val="00CD7FA5"/>
    <w:rsid w:val="00CE0112"/>
    <w:rsid w:val="00CE03B6"/>
    <w:rsid w:val="00CE05F2"/>
    <w:rsid w:val="00CE0EF9"/>
    <w:rsid w:val="00CE1225"/>
    <w:rsid w:val="00CE18BC"/>
    <w:rsid w:val="00CE22D6"/>
    <w:rsid w:val="00CE2806"/>
    <w:rsid w:val="00CE3257"/>
    <w:rsid w:val="00CE3684"/>
    <w:rsid w:val="00CE420D"/>
    <w:rsid w:val="00CE42DF"/>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164"/>
    <w:rsid w:val="00D014A9"/>
    <w:rsid w:val="00D017EE"/>
    <w:rsid w:val="00D02369"/>
    <w:rsid w:val="00D02621"/>
    <w:rsid w:val="00D02AC8"/>
    <w:rsid w:val="00D02C36"/>
    <w:rsid w:val="00D03684"/>
    <w:rsid w:val="00D03FC3"/>
    <w:rsid w:val="00D04FC8"/>
    <w:rsid w:val="00D05A8D"/>
    <w:rsid w:val="00D05FD4"/>
    <w:rsid w:val="00D06088"/>
    <w:rsid w:val="00D065A5"/>
    <w:rsid w:val="00D0675C"/>
    <w:rsid w:val="00D06800"/>
    <w:rsid w:val="00D06BB8"/>
    <w:rsid w:val="00D06EF9"/>
    <w:rsid w:val="00D0798F"/>
    <w:rsid w:val="00D07A46"/>
    <w:rsid w:val="00D07ADD"/>
    <w:rsid w:val="00D07C95"/>
    <w:rsid w:val="00D10199"/>
    <w:rsid w:val="00D10FB7"/>
    <w:rsid w:val="00D11683"/>
    <w:rsid w:val="00D11873"/>
    <w:rsid w:val="00D1281A"/>
    <w:rsid w:val="00D12BDB"/>
    <w:rsid w:val="00D13880"/>
    <w:rsid w:val="00D14204"/>
    <w:rsid w:val="00D14F37"/>
    <w:rsid w:val="00D1624D"/>
    <w:rsid w:val="00D164BF"/>
    <w:rsid w:val="00D16A3F"/>
    <w:rsid w:val="00D20083"/>
    <w:rsid w:val="00D20E2C"/>
    <w:rsid w:val="00D217CE"/>
    <w:rsid w:val="00D22050"/>
    <w:rsid w:val="00D22D38"/>
    <w:rsid w:val="00D22EE4"/>
    <w:rsid w:val="00D231AF"/>
    <w:rsid w:val="00D23556"/>
    <w:rsid w:val="00D24DBB"/>
    <w:rsid w:val="00D25B79"/>
    <w:rsid w:val="00D26F41"/>
    <w:rsid w:val="00D27327"/>
    <w:rsid w:val="00D27695"/>
    <w:rsid w:val="00D30320"/>
    <w:rsid w:val="00D30756"/>
    <w:rsid w:val="00D3150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22E4"/>
    <w:rsid w:val="00D423C9"/>
    <w:rsid w:val="00D429B7"/>
    <w:rsid w:val="00D44373"/>
    <w:rsid w:val="00D44A5C"/>
    <w:rsid w:val="00D44B18"/>
    <w:rsid w:val="00D45E78"/>
    <w:rsid w:val="00D4611C"/>
    <w:rsid w:val="00D46E80"/>
    <w:rsid w:val="00D46F2D"/>
    <w:rsid w:val="00D475CC"/>
    <w:rsid w:val="00D50835"/>
    <w:rsid w:val="00D50DBE"/>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48E6"/>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8036A"/>
    <w:rsid w:val="00D81307"/>
    <w:rsid w:val="00D820F3"/>
    <w:rsid w:val="00D822CA"/>
    <w:rsid w:val="00D84268"/>
    <w:rsid w:val="00D84515"/>
    <w:rsid w:val="00D84824"/>
    <w:rsid w:val="00D84F73"/>
    <w:rsid w:val="00D8666C"/>
    <w:rsid w:val="00D86B3B"/>
    <w:rsid w:val="00D876BB"/>
    <w:rsid w:val="00D8778A"/>
    <w:rsid w:val="00D87E48"/>
    <w:rsid w:val="00D90176"/>
    <w:rsid w:val="00D90446"/>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AF8"/>
    <w:rsid w:val="00DA019E"/>
    <w:rsid w:val="00DA0590"/>
    <w:rsid w:val="00DA0F8E"/>
    <w:rsid w:val="00DA0FC0"/>
    <w:rsid w:val="00DA1176"/>
    <w:rsid w:val="00DA12A3"/>
    <w:rsid w:val="00DA1985"/>
    <w:rsid w:val="00DA1D80"/>
    <w:rsid w:val="00DA2046"/>
    <w:rsid w:val="00DA2BCC"/>
    <w:rsid w:val="00DA30FB"/>
    <w:rsid w:val="00DA3F00"/>
    <w:rsid w:val="00DA631B"/>
    <w:rsid w:val="00DA6B8E"/>
    <w:rsid w:val="00DA7074"/>
    <w:rsid w:val="00DA727D"/>
    <w:rsid w:val="00DA773F"/>
    <w:rsid w:val="00DA7BC7"/>
    <w:rsid w:val="00DB0564"/>
    <w:rsid w:val="00DB1539"/>
    <w:rsid w:val="00DB2014"/>
    <w:rsid w:val="00DB21E6"/>
    <w:rsid w:val="00DB220E"/>
    <w:rsid w:val="00DB2369"/>
    <w:rsid w:val="00DB2559"/>
    <w:rsid w:val="00DB272C"/>
    <w:rsid w:val="00DB35C7"/>
    <w:rsid w:val="00DB39DE"/>
    <w:rsid w:val="00DB405C"/>
    <w:rsid w:val="00DB4322"/>
    <w:rsid w:val="00DB4699"/>
    <w:rsid w:val="00DB518A"/>
    <w:rsid w:val="00DB533A"/>
    <w:rsid w:val="00DB5C4A"/>
    <w:rsid w:val="00DB5D3E"/>
    <w:rsid w:val="00DB5EE5"/>
    <w:rsid w:val="00DB67D0"/>
    <w:rsid w:val="00DB68AB"/>
    <w:rsid w:val="00DB6DF3"/>
    <w:rsid w:val="00DB7507"/>
    <w:rsid w:val="00DB75E6"/>
    <w:rsid w:val="00DB7E8C"/>
    <w:rsid w:val="00DC0BF8"/>
    <w:rsid w:val="00DC0F93"/>
    <w:rsid w:val="00DC16C2"/>
    <w:rsid w:val="00DC1763"/>
    <w:rsid w:val="00DC17C6"/>
    <w:rsid w:val="00DC28A6"/>
    <w:rsid w:val="00DC3BC7"/>
    <w:rsid w:val="00DC4A29"/>
    <w:rsid w:val="00DC4B4C"/>
    <w:rsid w:val="00DC4E8D"/>
    <w:rsid w:val="00DC5A5E"/>
    <w:rsid w:val="00DC5CA9"/>
    <w:rsid w:val="00DC60E1"/>
    <w:rsid w:val="00DC6A94"/>
    <w:rsid w:val="00DC76BA"/>
    <w:rsid w:val="00DD132F"/>
    <w:rsid w:val="00DD1521"/>
    <w:rsid w:val="00DD1C2F"/>
    <w:rsid w:val="00DD1ED7"/>
    <w:rsid w:val="00DD242B"/>
    <w:rsid w:val="00DD2C54"/>
    <w:rsid w:val="00DD3430"/>
    <w:rsid w:val="00DD35A0"/>
    <w:rsid w:val="00DD6396"/>
    <w:rsid w:val="00DD6C70"/>
    <w:rsid w:val="00DD6E8E"/>
    <w:rsid w:val="00DD70C8"/>
    <w:rsid w:val="00DD7F36"/>
    <w:rsid w:val="00DE0C03"/>
    <w:rsid w:val="00DE21CF"/>
    <w:rsid w:val="00DE273A"/>
    <w:rsid w:val="00DE3E7C"/>
    <w:rsid w:val="00DE4664"/>
    <w:rsid w:val="00DE5335"/>
    <w:rsid w:val="00DE6DAE"/>
    <w:rsid w:val="00DF02EC"/>
    <w:rsid w:val="00DF098C"/>
    <w:rsid w:val="00DF1249"/>
    <w:rsid w:val="00DF24B9"/>
    <w:rsid w:val="00DF2DA0"/>
    <w:rsid w:val="00DF32AF"/>
    <w:rsid w:val="00DF3E4D"/>
    <w:rsid w:val="00DF42F3"/>
    <w:rsid w:val="00DF46CF"/>
    <w:rsid w:val="00DF4D70"/>
    <w:rsid w:val="00DF4F19"/>
    <w:rsid w:val="00DF5270"/>
    <w:rsid w:val="00DF5374"/>
    <w:rsid w:val="00DF5D97"/>
    <w:rsid w:val="00DF621B"/>
    <w:rsid w:val="00DF6B34"/>
    <w:rsid w:val="00DF6B69"/>
    <w:rsid w:val="00E00C18"/>
    <w:rsid w:val="00E012D8"/>
    <w:rsid w:val="00E0160D"/>
    <w:rsid w:val="00E0175D"/>
    <w:rsid w:val="00E028E6"/>
    <w:rsid w:val="00E02DBD"/>
    <w:rsid w:val="00E03941"/>
    <w:rsid w:val="00E046C1"/>
    <w:rsid w:val="00E049FD"/>
    <w:rsid w:val="00E04B41"/>
    <w:rsid w:val="00E05375"/>
    <w:rsid w:val="00E054B7"/>
    <w:rsid w:val="00E05A22"/>
    <w:rsid w:val="00E05AC5"/>
    <w:rsid w:val="00E06AF4"/>
    <w:rsid w:val="00E07DFF"/>
    <w:rsid w:val="00E07E45"/>
    <w:rsid w:val="00E10043"/>
    <w:rsid w:val="00E1039A"/>
    <w:rsid w:val="00E119CF"/>
    <w:rsid w:val="00E1296E"/>
    <w:rsid w:val="00E12B11"/>
    <w:rsid w:val="00E12C4F"/>
    <w:rsid w:val="00E131BE"/>
    <w:rsid w:val="00E136EA"/>
    <w:rsid w:val="00E139D0"/>
    <w:rsid w:val="00E145E0"/>
    <w:rsid w:val="00E14911"/>
    <w:rsid w:val="00E14913"/>
    <w:rsid w:val="00E150B1"/>
    <w:rsid w:val="00E1546F"/>
    <w:rsid w:val="00E16219"/>
    <w:rsid w:val="00E168A5"/>
    <w:rsid w:val="00E175FF"/>
    <w:rsid w:val="00E176E8"/>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2F08"/>
    <w:rsid w:val="00E33222"/>
    <w:rsid w:val="00E33802"/>
    <w:rsid w:val="00E33814"/>
    <w:rsid w:val="00E33D97"/>
    <w:rsid w:val="00E3582D"/>
    <w:rsid w:val="00E35AC6"/>
    <w:rsid w:val="00E35F47"/>
    <w:rsid w:val="00E36306"/>
    <w:rsid w:val="00E36C4E"/>
    <w:rsid w:val="00E377BF"/>
    <w:rsid w:val="00E379BC"/>
    <w:rsid w:val="00E40E0C"/>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7FA4"/>
    <w:rsid w:val="00E60ADA"/>
    <w:rsid w:val="00E61C29"/>
    <w:rsid w:val="00E624D8"/>
    <w:rsid w:val="00E63DB3"/>
    <w:rsid w:val="00E63F2E"/>
    <w:rsid w:val="00E645DC"/>
    <w:rsid w:val="00E65967"/>
    <w:rsid w:val="00E65EF0"/>
    <w:rsid w:val="00E668E2"/>
    <w:rsid w:val="00E6767F"/>
    <w:rsid w:val="00E67F22"/>
    <w:rsid w:val="00E705E5"/>
    <w:rsid w:val="00E70B0C"/>
    <w:rsid w:val="00E713AC"/>
    <w:rsid w:val="00E71EFF"/>
    <w:rsid w:val="00E72246"/>
    <w:rsid w:val="00E722AC"/>
    <w:rsid w:val="00E723D3"/>
    <w:rsid w:val="00E725B6"/>
    <w:rsid w:val="00E73E01"/>
    <w:rsid w:val="00E745BF"/>
    <w:rsid w:val="00E74697"/>
    <w:rsid w:val="00E74F1D"/>
    <w:rsid w:val="00E758C0"/>
    <w:rsid w:val="00E763A8"/>
    <w:rsid w:val="00E765F5"/>
    <w:rsid w:val="00E82560"/>
    <w:rsid w:val="00E825E3"/>
    <w:rsid w:val="00E828B0"/>
    <w:rsid w:val="00E83280"/>
    <w:rsid w:val="00E832C9"/>
    <w:rsid w:val="00E833B2"/>
    <w:rsid w:val="00E8348E"/>
    <w:rsid w:val="00E83C3A"/>
    <w:rsid w:val="00E83D39"/>
    <w:rsid w:val="00E83E6E"/>
    <w:rsid w:val="00E83EA9"/>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1EAA"/>
    <w:rsid w:val="00E92BD8"/>
    <w:rsid w:val="00E92F0A"/>
    <w:rsid w:val="00E93A7A"/>
    <w:rsid w:val="00E93B3D"/>
    <w:rsid w:val="00E94307"/>
    <w:rsid w:val="00E94762"/>
    <w:rsid w:val="00E94C76"/>
    <w:rsid w:val="00E9572A"/>
    <w:rsid w:val="00E958C1"/>
    <w:rsid w:val="00E960CF"/>
    <w:rsid w:val="00E9627E"/>
    <w:rsid w:val="00E965F5"/>
    <w:rsid w:val="00E96C2A"/>
    <w:rsid w:val="00E96FBC"/>
    <w:rsid w:val="00E9738B"/>
    <w:rsid w:val="00E97732"/>
    <w:rsid w:val="00E97A1F"/>
    <w:rsid w:val="00EA0214"/>
    <w:rsid w:val="00EA0281"/>
    <w:rsid w:val="00EA0BD3"/>
    <w:rsid w:val="00EA0BFA"/>
    <w:rsid w:val="00EA0CA7"/>
    <w:rsid w:val="00EA0E05"/>
    <w:rsid w:val="00EA0EFC"/>
    <w:rsid w:val="00EA12D3"/>
    <w:rsid w:val="00EA20F1"/>
    <w:rsid w:val="00EA2730"/>
    <w:rsid w:val="00EA42BA"/>
    <w:rsid w:val="00EA4F96"/>
    <w:rsid w:val="00EA531A"/>
    <w:rsid w:val="00EA589B"/>
    <w:rsid w:val="00EA7499"/>
    <w:rsid w:val="00EA74E3"/>
    <w:rsid w:val="00EA7744"/>
    <w:rsid w:val="00EB178A"/>
    <w:rsid w:val="00EB2435"/>
    <w:rsid w:val="00EB2502"/>
    <w:rsid w:val="00EB3027"/>
    <w:rsid w:val="00EB306C"/>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55C"/>
    <w:rsid w:val="00EC60C0"/>
    <w:rsid w:val="00EC6337"/>
    <w:rsid w:val="00EC7326"/>
    <w:rsid w:val="00ED0DE8"/>
    <w:rsid w:val="00ED0FAF"/>
    <w:rsid w:val="00ED0FB6"/>
    <w:rsid w:val="00ED19F8"/>
    <w:rsid w:val="00ED3068"/>
    <w:rsid w:val="00ED3534"/>
    <w:rsid w:val="00ED3B7D"/>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2439"/>
    <w:rsid w:val="00EF3A4A"/>
    <w:rsid w:val="00EF3B82"/>
    <w:rsid w:val="00EF3D43"/>
    <w:rsid w:val="00EF493B"/>
    <w:rsid w:val="00EF4F32"/>
    <w:rsid w:val="00EF6848"/>
    <w:rsid w:val="00EF754B"/>
    <w:rsid w:val="00EF7CE1"/>
    <w:rsid w:val="00F000F0"/>
    <w:rsid w:val="00F00122"/>
    <w:rsid w:val="00F00923"/>
    <w:rsid w:val="00F009F4"/>
    <w:rsid w:val="00F00C9D"/>
    <w:rsid w:val="00F01090"/>
    <w:rsid w:val="00F01A06"/>
    <w:rsid w:val="00F01A58"/>
    <w:rsid w:val="00F023A1"/>
    <w:rsid w:val="00F0301D"/>
    <w:rsid w:val="00F03891"/>
    <w:rsid w:val="00F046B1"/>
    <w:rsid w:val="00F04CF6"/>
    <w:rsid w:val="00F04ED5"/>
    <w:rsid w:val="00F05BA0"/>
    <w:rsid w:val="00F05EED"/>
    <w:rsid w:val="00F062B0"/>
    <w:rsid w:val="00F06F02"/>
    <w:rsid w:val="00F077C0"/>
    <w:rsid w:val="00F0783A"/>
    <w:rsid w:val="00F07C4E"/>
    <w:rsid w:val="00F14351"/>
    <w:rsid w:val="00F15744"/>
    <w:rsid w:val="00F15A4F"/>
    <w:rsid w:val="00F165FE"/>
    <w:rsid w:val="00F16BB1"/>
    <w:rsid w:val="00F20046"/>
    <w:rsid w:val="00F206FE"/>
    <w:rsid w:val="00F209E0"/>
    <w:rsid w:val="00F20EE3"/>
    <w:rsid w:val="00F21048"/>
    <w:rsid w:val="00F2112D"/>
    <w:rsid w:val="00F21654"/>
    <w:rsid w:val="00F218EF"/>
    <w:rsid w:val="00F21EC3"/>
    <w:rsid w:val="00F23178"/>
    <w:rsid w:val="00F2357F"/>
    <w:rsid w:val="00F243AF"/>
    <w:rsid w:val="00F24A57"/>
    <w:rsid w:val="00F24F4D"/>
    <w:rsid w:val="00F25139"/>
    <w:rsid w:val="00F25166"/>
    <w:rsid w:val="00F2566F"/>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129"/>
    <w:rsid w:val="00F44833"/>
    <w:rsid w:val="00F45003"/>
    <w:rsid w:val="00F45692"/>
    <w:rsid w:val="00F463BD"/>
    <w:rsid w:val="00F46A01"/>
    <w:rsid w:val="00F47AFE"/>
    <w:rsid w:val="00F47DF9"/>
    <w:rsid w:val="00F50020"/>
    <w:rsid w:val="00F50849"/>
    <w:rsid w:val="00F50F51"/>
    <w:rsid w:val="00F51318"/>
    <w:rsid w:val="00F51929"/>
    <w:rsid w:val="00F523A6"/>
    <w:rsid w:val="00F52631"/>
    <w:rsid w:val="00F52A4B"/>
    <w:rsid w:val="00F533DB"/>
    <w:rsid w:val="00F5376A"/>
    <w:rsid w:val="00F53E2D"/>
    <w:rsid w:val="00F542D8"/>
    <w:rsid w:val="00F548C8"/>
    <w:rsid w:val="00F54986"/>
    <w:rsid w:val="00F55A3B"/>
    <w:rsid w:val="00F563B2"/>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632D"/>
    <w:rsid w:val="00F9650D"/>
    <w:rsid w:val="00F967D4"/>
    <w:rsid w:val="00F97645"/>
    <w:rsid w:val="00F976DD"/>
    <w:rsid w:val="00F9794E"/>
    <w:rsid w:val="00F97B15"/>
    <w:rsid w:val="00FA0509"/>
    <w:rsid w:val="00FA0E7C"/>
    <w:rsid w:val="00FA1D8F"/>
    <w:rsid w:val="00FA1E61"/>
    <w:rsid w:val="00FA2FA0"/>
    <w:rsid w:val="00FA35AF"/>
    <w:rsid w:val="00FA53C1"/>
    <w:rsid w:val="00FA5871"/>
    <w:rsid w:val="00FA6225"/>
    <w:rsid w:val="00FA6686"/>
    <w:rsid w:val="00FA6BCC"/>
    <w:rsid w:val="00FA79A3"/>
    <w:rsid w:val="00FA7AA6"/>
    <w:rsid w:val="00FA7B16"/>
    <w:rsid w:val="00FA7C04"/>
    <w:rsid w:val="00FB035D"/>
    <w:rsid w:val="00FB0443"/>
    <w:rsid w:val="00FB16B3"/>
    <w:rsid w:val="00FB18E8"/>
    <w:rsid w:val="00FB1CBB"/>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5CD"/>
    <w:rsid w:val="00FD4CC0"/>
    <w:rsid w:val="00FD5AFC"/>
    <w:rsid w:val="00FD618D"/>
    <w:rsid w:val="00FD6A3D"/>
    <w:rsid w:val="00FD6BB9"/>
    <w:rsid w:val="00FD6F42"/>
    <w:rsid w:val="00FD7313"/>
    <w:rsid w:val="00FE098B"/>
    <w:rsid w:val="00FE0C6B"/>
    <w:rsid w:val="00FE22FE"/>
    <w:rsid w:val="00FE23E2"/>
    <w:rsid w:val="00FE3DA5"/>
    <w:rsid w:val="00FE460F"/>
    <w:rsid w:val="00FE4930"/>
    <w:rsid w:val="00FE4E61"/>
    <w:rsid w:val="00FE5B8D"/>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0D6FD2A"/>
  <w15:chartTrackingRefBased/>
  <w15:docId w15:val="{A3B15AB2-4ADD-466F-B0B1-163B7AF3D0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
    <w:basedOn w:val="Normal"/>
    <w:next w:val="Normal"/>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lang w:eastAsia="en-US"/>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ListParagraph">
    <w:name w:val="List Paragraph"/>
    <w:basedOn w:val="Normal"/>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table" w:styleId="TableElegant">
    <w:name w:val="Table Elegant"/>
    <w:basedOn w:val="TableNormal"/>
    <w:rsid w:val="00C8650D"/>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0F7B9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5603474">
      <w:bodyDiv w:val="1"/>
      <w:marLeft w:val="0"/>
      <w:marRight w:val="0"/>
      <w:marTop w:val="0"/>
      <w:marBottom w:val="0"/>
      <w:divBdr>
        <w:top w:val="none" w:sz="0" w:space="0" w:color="auto"/>
        <w:left w:val="none" w:sz="0" w:space="0" w:color="auto"/>
        <w:bottom w:val="none" w:sz="0" w:space="0" w:color="auto"/>
        <w:right w:val="none" w:sz="0" w:space="0" w:color="auto"/>
      </w:divBdr>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037000413">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33042831">
      <w:bodyDiv w:val="1"/>
      <w:marLeft w:val="0"/>
      <w:marRight w:val="0"/>
      <w:marTop w:val="0"/>
      <w:marBottom w:val="0"/>
      <w:divBdr>
        <w:top w:val="none" w:sz="0" w:space="0" w:color="auto"/>
        <w:left w:val="none" w:sz="0" w:space="0" w:color="auto"/>
        <w:bottom w:val="none" w:sz="0" w:space="0" w:color="auto"/>
        <w:right w:val="none" w:sz="0" w:space="0" w:color="auto"/>
      </w:divBdr>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HR33RHYHUWRF-4-1710</_dlc_DocId>
    <_dlc_DocIdUrl xmlns="c06861ca-3f08-4d07-bff7-bb15bac121f4">
      <Url>https://projects.qualcomm.com/sites/pentari/_layouts/15/DocIdRedir.aspx?ID=HR33RHYHUWRF-4-1710</Url>
      <Description>HR33RHYHUWRF-4-1710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356363-72CF-4B47-B827-0A62DA915D6D}">
  <ds:schemaRefs>
    <ds:schemaRef ds:uri="http://schemas.microsoft.com/office/2006/metadata/longProperties"/>
  </ds:schemaRefs>
</ds:datastoreItem>
</file>

<file path=customXml/itemProps2.xml><?xml version="1.0" encoding="utf-8"?>
<ds:datastoreItem xmlns:ds="http://schemas.openxmlformats.org/officeDocument/2006/customXml" ds:itemID="{F5864370-7043-4CD6-AB83-3C0DF03166E4}">
  <ds:schemaRefs>
    <ds:schemaRef ds:uri="http://schemas.microsoft.com/sharepoint/events"/>
  </ds:schemaRefs>
</ds:datastoreItem>
</file>

<file path=customXml/itemProps3.xml><?xml version="1.0" encoding="utf-8"?>
<ds:datastoreItem xmlns:ds="http://schemas.openxmlformats.org/officeDocument/2006/customXml" ds:itemID="{5E45D529-5E1D-4284-8B80-40D45C2BFB73}">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62D1336E-B573-413F-AF1A-85B863B116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872CBCF-7D09-4C5C-8A1A-05052A5AD3CE}">
  <ds:schemaRefs>
    <ds:schemaRef ds:uri="http://schemas.microsoft.com/sharepoint/v3/contenttype/forms"/>
  </ds:schemaRefs>
</ds:datastoreItem>
</file>

<file path=customXml/itemProps6.xml><?xml version="1.0" encoding="utf-8"?>
<ds:datastoreItem xmlns:ds="http://schemas.openxmlformats.org/officeDocument/2006/customXml" ds:itemID="{61B80932-3B5B-4EDD-A0D6-619895A397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844</Words>
  <Characters>4811</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5644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Hosseini, Kianoush</cp:lastModifiedBy>
  <cp:revision>2</cp:revision>
  <cp:lastPrinted>2010-10-04T23:31:00Z</cp:lastPrinted>
  <dcterms:created xsi:type="dcterms:W3CDTF">2017-02-06T23:10:00Z</dcterms:created>
  <dcterms:modified xsi:type="dcterms:W3CDTF">2017-02-06T23:10:00Z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1285913743</vt:i4>
  </property>
  <property fmtid="{D5CDD505-2E9C-101B-9397-08002B2CF9AE}" pid="3" name="_NewReviewCycle">
    <vt:lpwstr/>
  </property>
  <property fmtid="{D5CDD505-2E9C-101B-9397-08002B2CF9AE}" pid="4" name="_EmailSubject">
    <vt:lpwstr>Contribution Papers</vt:lpwstr>
  </property>
  <property fmtid="{D5CDD505-2E9C-101B-9397-08002B2CF9AE}" pid="5" name="_AuthorEmail">
    <vt:lpwstr>kianoush@qti.qualcomm.com</vt:lpwstr>
  </property>
  <property fmtid="{D5CDD505-2E9C-101B-9397-08002B2CF9AE}" pid="6" name="_AuthorEmailDisplayName">
    <vt:lpwstr>Hosseini, Kianoush</vt:lpwstr>
  </property>
  <property fmtid="{D5CDD505-2E9C-101B-9397-08002B2CF9AE}" pid="7" name="_dlc_DocId">
    <vt:lpwstr>5ACTRJNS4X5K-3-3586</vt:lpwstr>
  </property>
  <property fmtid="{D5CDD505-2E9C-101B-9397-08002B2CF9AE}" pid="8" name="_dlc_DocIdItemGuid">
    <vt:lpwstr>719254f7-afb9-4fcc-bc82-94c1039d0c32</vt:lpwstr>
  </property>
  <property fmtid="{D5CDD505-2E9C-101B-9397-08002B2CF9AE}" pid="9" name="_dlc_DocIdUrl">
    <vt:lpwstr>https://projects.qualcomm.com/sites/espresso/_layouts/15/DocIdRedir.aspx?ID=5ACTRJNS4X5K-3-3586, 5ACTRJNS4X5K-3-3586</vt:lpwstr>
  </property>
  <property fmtid="{D5CDD505-2E9C-101B-9397-08002B2CF9AE}" pid="10" name="ContentTypeId">
    <vt:lpwstr>0x010100BC29BFD66497B943AA3B102F0C7B1355</vt:lpwstr>
  </property>
  <property fmtid="{D5CDD505-2E9C-101B-9397-08002B2CF9AE}" pid="11" name="_PreviousAdHocReviewCycleID">
    <vt:i4>-231200248</vt:i4>
  </property>
  <property fmtid="{D5CDD505-2E9C-101B-9397-08002B2CF9AE}" pid="12" name="_ReviewingToolsShownOnce">
    <vt:lpwstr/>
  </property>
</Properties>
</file>